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6256D" w14:textId="77777777" w:rsidR="006C17CF" w:rsidRPr="00D47F3A" w:rsidRDefault="006C17CF" w:rsidP="00FF6113">
      <w:pPr>
        <w:jc w:val="center"/>
        <w:rPr>
          <w:rFonts w:ascii="Calibri" w:hAnsi="Calibri" w:cs="Calibri"/>
          <w:sz w:val="24"/>
          <w:szCs w:val="24"/>
          <w:lang w:val="en-US"/>
        </w:rPr>
      </w:pPr>
    </w:p>
    <w:p w14:paraId="135DCECA" w14:textId="1F00D0C7" w:rsidR="00644333" w:rsidRPr="00961770" w:rsidRDefault="00B4722C" w:rsidP="00FF6113">
      <w:pPr>
        <w:jc w:val="center"/>
        <w:rPr>
          <w:rFonts w:ascii="Cambria" w:hAnsi="Cambria" w:cs="Calibri"/>
          <w:sz w:val="28"/>
          <w:szCs w:val="28"/>
          <w:lang w:val="en-US"/>
        </w:rPr>
      </w:pPr>
      <w:r w:rsidRPr="00961770">
        <w:rPr>
          <w:rFonts w:ascii="Cambria" w:hAnsi="Cambria" w:cs="Calibri"/>
          <w:sz w:val="28"/>
          <w:szCs w:val="28"/>
          <w:lang w:val="en-US"/>
        </w:rPr>
        <w:t>Diocese of Bath and Wells</w:t>
      </w:r>
      <w:r w:rsidR="00FF6113" w:rsidRPr="00961770">
        <w:rPr>
          <w:rFonts w:ascii="Cambria" w:hAnsi="Cambria" w:cs="Calibri"/>
          <w:sz w:val="28"/>
          <w:szCs w:val="28"/>
          <w:lang w:val="en-US"/>
        </w:rPr>
        <w:t xml:space="preserve"> - </w:t>
      </w:r>
      <w:r w:rsidRPr="00961770">
        <w:rPr>
          <w:rFonts w:ascii="Cambria" w:hAnsi="Cambria" w:cs="Calibri"/>
          <w:sz w:val="28"/>
          <w:szCs w:val="28"/>
          <w:lang w:val="en-US"/>
        </w:rPr>
        <w:t>Admissions Policy</w:t>
      </w:r>
    </w:p>
    <w:p w14:paraId="3ECF0206" w14:textId="77777777" w:rsidR="00D9779E" w:rsidRPr="00D47F3A" w:rsidRDefault="00D9779E" w:rsidP="00644333">
      <w:pPr>
        <w:rPr>
          <w:rFonts w:ascii="Calibri" w:hAnsi="Calibri" w:cs="Calibri"/>
          <w:b/>
          <w:bCs/>
          <w:sz w:val="24"/>
          <w:szCs w:val="24"/>
        </w:rPr>
      </w:pPr>
    </w:p>
    <w:p w14:paraId="5795C9A5" w14:textId="2A23E9D9" w:rsidR="00644333" w:rsidRPr="00D47F3A" w:rsidRDefault="00644333" w:rsidP="00C36811">
      <w:pPr>
        <w:pStyle w:val="NoSpacing"/>
        <w:rPr>
          <w:rFonts w:ascii="Calibri" w:hAnsi="Calibri" w:cs="Calibri"/>
          <w:b/>
          <w:bCs/>
          <w:sz w:val="24"/>
          <w:szCs w:val="24"/>
        </w:rPr>
      </w:pPr>
      <w:r w:rsidRPr="00D47F3A">
        <w:rPr>
          <w:rFonts w:ascii="Calibri" w:hAnsi="Calibri" w:cs="Calibri"/>
          <w:b/>
          <w:bCs/>
          <w:sz w:val="24"/>
          <w:szCs w:val="24"/>
        </w:rPr>
        <w:t xml:space="preserve">The Role of the Diocesan Board of Education (DBE) </w:t>
      </w:r>
    </w:p>
    <w:p w14:paraId="01F61B41" w14:textId="7A5FF183" w:rsidR="00082576" w:rsidRPr="00D47F3A" w:rsidRDefault="00082576" w:rsidP="00C36811">
      <w:pPr>
        <w:pStyle w:val="NoSpacing"/>
        <w:rPr>
          <w:rFonts w:ascii="Calibri" w:hAnsi="Calibri" w:cs="Calibri"/>
          <w:sz w:val="24"/>
          <w:szCs w:val="24"/>
        </w:rPr>
      </w:pPr>
      <w:r w:rsidRPr="00D47F3A">
        <w:rPr>
          <w:rFonts w:ascii="Calibri" w:hAnsi="Calibri" w:cs="Calibri"/>
          <w:sz w:val="24"/>
          <w:szCs w:val="24"/>
        </w:rPr>
        <w:t>Church of England schools must, as required by the Diocesan Boards of Education Measure 1991, consult with their diocese about proposed admission arrangements before any public consultation. ‘Schools Admissions Code 2021.’</w:t>
      </w:r>
    </w:p>
    <w:p w14:paraId="7FF67509" w14:textId="77777777" w:rsidR="00C36811" w:rsidRPr="00D47F3A" w:rsidRDefault="00C36811" w:rsidP="00C36811">
      <w:pPr>
        <w:pStyle w:val="NoSpacing"/>
        <w:rPr>
          <w:rFonts w:ascii="Calibri" w:hAnsi="Calibri" w:cs="Calibri"/>
          <w:sz w:val="24"/>
          <w:szCs w:val="24"/>
        </w:rPr>
      </w:pPr>
    </w:p>
    <w:p w14:paraId="2D63E7BC" w14:textId="77777777" w:rsidR="00ED5B5F" w:rsidRPr="00D47F3A" w:rsidRDefault="00082576" w:rsidP="00ED5B5F">
      <w:pPr>
        <w:pStyle w:val="NoSpacing"/>
        <w:rPr>
          <w:rFonts w:ascii="Calibri" w:hAnsi="Calibri" w:cs="Calibri"/>
          <w:sz w:val="24"/>
          <w:szCs w:val="24"/>
        </w:rPr>
      </w:pPr>
      <w:r w:rsidRPr="00D47F3A">
        <w:rPr>
          <w:rFonts w:ascii="Calibri" w:hAnsi="Calibri" w:cs="Calibri"/>
          <w:sz w:val="24"/>
          <w:szCs w:val="24"/>
        </w:rPr>
        <w:t xml:space="preserve">Therefore, one of the functions of the DBE is to review and respond to any proposed changes in a church </w:t>
      </w:r>
      <w:r w:rsidR="00FF6113" w:rsidRPr="00D47F3A">
        <w:rPr>
          <w:rFonts w:ascii="Calibri" w:hAnsi="Calibri" w:cs="Calibri"/>
          <w:sz w:val="24"/>
          <w:szCs w:val="24"/>
        </w:rPr>
        <w:t>schools’</w:t>
      </w:r>
      <w:r w:rsidRPr="00D47F3A">
        <w:rPr>
          <w:rFonts w:ascii="Calibri" w:hAnsi="Calibri" w:cs="Calibri"/>
          <w:sz w:val="24"/>
          <w:szCs w:val="24"/>
        </w:rPr>
        <w:t xml:space="preserve"> admissions arrangements. Governing boards have a duty to consult the DBE before anyone else. Church schools are required to have regard to DBE guidance when formulating their admissions criteria. School Adjudicators refer to Diocesan guidance</w:t>
      </w:r>
      <w:r w:rsidR="77954539" w:rsidRPr="00D47F3A">
        <w:rPr>
          <w:rFonts w:ascii="Calibri" w:hAnsi="Calibri" w:cs="Calibri"/>
          <w:sz w:val="24"/>
          <w:szCs w:val="24"/>
        </w:rPr>
        <w:t xml:space="preserve"> and expect a professional dialogue with diocesan advisers</w:t>
      </w:r>
      <w:r w:rsidRPr="00D47F3A">
        <w:rPr>
          <w:rFonts w:ascii="Calibri" w:hAnsi="Calibri" w:cs="Calibri"/>
          <w:sz w:val="24"/>
          <w:szCs w:val="24"/>
        </w:rPr>
        <w:t xml:space="preserve"> when determining objections about church school admissions arrangements.</w:t>
      </w:r>
    </w:p>
    <w:p w14:paraId="49944E88" w14:textId="77777777" w:rsidR="00ED5B5F" w:rsidRPr="00D47F3A" w:rsidRDefault="00ED5B5F" w:rsidP="00ED5B5F">
      <w:pPr>
        <w:pStyle w:val="NoSpacing"/>
        <w:rPr>
          <w:rFonts w:ascii="Calibri" w:hAnsi="Calibri" w:cs="Calibri"/>
          <w:sz w:val="24"/>
          <w:szCs w:val="24"/>
        </w:rPr>
      </w:pPr>
    </w:p>
    <w:p w14:paraId="254A01CA" w14:textId="6CBDD4A9" w:rsidR="00082576" w:rsidRPr="00D47F3A" w:rsidRDefault="00082576" w:rsidP="00ED5B5F">
      <w:pPr>
        <w:pStyle w:val="NoSpacing"/>
        <w:rPr>
          <w:rFonts w:ascii="Calibri" w:hAnsi="Calibri" w:cs="Calibri"/>
          <w:b/>
          <w:bCs/>
          <w:sz w:val="24"/>
          <w:szCs w:val="24"/>
        </w:rPr>
      </w:pPr>
      <w:r w:rsidRPr="00D47F3A">
        <w:rPr>
          <w:rFonts w:ascii="Calibri" w:hAnsi="Calibri" w:cs="Calibri"/>
          <w:b/>
          <w:bCs/>
          <w:sz w:val="24"/>
          <w:szCs w:val="24"/>
        </w:rPr>
        <w:t>Diocesan Guidance</w:t>
      </w:r>
      <w:r w:rsidR="002268BE" w:rsidRPr="00D47F3A">
        <w:rPr>
          <w:rFonts w:ascii="Calibri" w:hAnsi="Calibri" w:cs="Calibri"/>
          <w:b/>
          <w:bCs/>
          <w:sz w:val="24"/>
          <w:szCs w:val="24"/>
        </w:rPr>
        <w:t xml:space="preserve"> for Admissions Authorities</w:t>
      </w:r>
    </w:p>
    <w:p w14:paraId="1FF7CB00" w14:textId="68D26B86" w:rsidR="00082576" w:rsidRPr="00D47F3A" w:rsidRDefault="00082576" w:rsidP="00B60CBC">
      <w:pPr>
        <w:pStyle w:val="NoSpacing"/>
        <w:numPr>
          <w:ilvl w:val="0"/>
          <w:numId w:val="3"/>
        </w:numPr>
        <w:rPr>
          <w:rFonts w:ascii="Calibri" w:hAnsi="Calibri" w:cs="Calibri"/>
          <w:sz w:val="24"/>
          <w:szCs w:val="24"/>
        </w:rPr>
      </w:pPr>
      <w:r w:rsidRPr="00D47F3A">
        <w:rPr>
          <w:rFonts w:ascii="Calibri" w:hAnsi="Calibri" w:cs="Calibri"/>
          <w:sz w:val="24"/>
          <w:szCs w:val="24"/>
        </w:rPr>
        <w:t>Admissions authorities must ensure that they are compliant with the Schools Admissions Code 2021.</w:t>
      </w:r>
    </w:p>
    <w:p w14:paraId="65444630" w14:textId="2CA4DCC7" w:rsidR="00082576" w:rsidRPr="00D47F3A" w:rsidRDefault="00082576" w:rsidP="00B60CBC">
      <w:pPr>
        <w:pStyle w:val="NoSpacing"/>
        <w:numPr>
          <w:ilvl w:val="0"/>
          <w:numId w:val="3"/>
        </w:numPr>
        <w:rPr>
          <w:rFonts w:ascii="Calibri" w:hAnsi="Calibri" w:cs="Calibri"/>
          <w:sz w:val="24"/>
          <w:szCs w:val="24"/>
        </w:rPr>
      </w:pPr>
      <w:r w:rsidRPr="00D47F3A">
        <w:rPr>
          <w:rFonts w:ascii="Calibri" w:hAnsi="Calibri" w:cs="Calibri"/>
          <w:sz w:val="24"/>
          <w:szCs w:val="24"/>
        </w:rPr>
        <w:t>Admissions authorities must consult on their admissions arrangements every seven years, even if no changes are to be made.</w:t>
      </w:r>
    </w:p>
    <w:p w14:paraId="1052DE92" w14:textId="2B7F4AD5" w:rsidR="00082576" w:rsidRPr="00D47F3A" w:rsidRDefault="00082576" w:rsidP="00B60CBC">
      <w:pPr>
        <w:pStyle w:val="NoSpacing"/>
        <w:numPr>
          <w:ilvl w:val="0"/>
          <w:numId w:val="3"/>
        </w:numPr>
        <w:rPr>
          <w:rFonts w:ascii="Calibri" w:hAnsi="Calibri" w:cs="Calibri"/>
          <w:sz w:val="24"/>
          <w:szCs w:val="24"/>
        </w:rPr>
      </w:pPr>
      <w:r w:rsidRPr="00D47F3A">
        <w:rPr>
          <w:rFonts w:ascii="Calibri" w:hAnsi="Calibri" w:cs="Calibri"/>
          <w:sz w:val="24"/>
          <w:szCs w:val="24"/>
        </w:rPr>
        <w:t xml:space="preserve">We recommend that admission </w:t>
      </w:r>
      <w:proofErr w:type="gramStart"/>
      <w:r w:rsidRPr="00D47F3A">
        <w:rPr>
          <w:rFonts w:ascii="Calibri" w:hAnsi="Calibri" w:cs="Calibri"/>
          <w:sz w:val="24"/>
          <w:szCs w:val="24"/>
        </w:rPr>
        <w:t>matters</w:t>
      </w:r>
      <w:proofErr w:type="gramEnd"/>
      <w:r w:rsidRPr="00D47F3A">
        <w:rPr>
          <w:rFonts w:ascii="Calibri" w:hAnsi="Calibri" w:cs="Calibri"/>
          <w:sz w:val="24"/>
          <w:szCs w:val="24"/>
        </w:rPr>
        <w:t xml:space="preserve"> and key dates are planned into the operational calendar of the governing board.</w:t>
      </w:r>
    </w:p>
    <w:p w14:paraId="72BA4896" w14:textId="5EC77F55" w:rsidR="00082576" w:rsidRPr="00D47F3A" w:rsidRDefault="00082576" w:rsidP="00B60CBC">
      <w:pPr>
        <w:pStyle w:val="NoSpacing"/>
        <w:numPr>
          <w:ilvl w:val="0"/>
          <w:numId w:val="3"/>
        </w:numPr>
        <w:rPr>
          <w:rFonts w:ascii="Calibri" w:hAnsi="Calibri" w:cs="Calibri"/>
          <w:sz w:val="24"/>
          <w:szCs w:val="24"/>
        </w:rPr>
      </w:pPr>
      <w:r w:rsidRPr="00D47F3A">
        <w:rPr>
          <w:rFonts w:ascii="Calibri" w:hAnsi="Calibri" w:cs="Calibri"/>
          <w:sz w:val="24"/>
          <w:szCs w:val="24"/>
        </w:rPr>
        <w:t>Admissions authorities must formally agree and minute their admissions arrangements every year, even if no changes have been made.</w:t>
      </w:r>
    </w:p>
    <w:p w14:paraId="34BB1BC3" w14:textId="576B9775" w:rsidR="002268BE" w:rsidRPr="00D47F3A" w:rsidRDefault="00082576" w:rsidP="00B60CBC">
      <w:pPr>
        <w:pStyle w:val="NoSpacing"/>
        <w:numPr>
          <w:ilvl w:val="0"/>
          <w:numId w:val="3"/>
        </w:numPr>
        <w:rPr>
          <w:rFonts w:ascii="Calibri" w:hAnsi="Calibri" w:cs="Calibri"/>
          <w:sz w:val="24"/>
          <w:szCs w:val="24"/>
        </w:rPr>
      </w:pPr>
      <w:r w:rsidRPr="00D47F3A">
        <w:rPr>
          <w:rFonts w:ascii="Calibri" w:hAnsi="Calibri" w:cs="Calibri"/>
          <w:sz w:val="24"/>
          <w:szCs w:val="24"/>
        </w:rPr>
        <w:t>Admissions authorities must publish their admissions arrangements on their website</w:t>
      </w:r>
      <w:r w:rsidR="002268BE" w:rsidRPr="00D47F3A">
        <w:rPr>
          <w:rFonts w:ascii="Calibri" w:hAnsi="Calibri" w:cs="Calibri"/>
          <w:sz w:val="24"/>
          <w:szCs w:val="24"/>
        </w:rPr>
        <w:t xml:space="preserve">. </w:t>
      </w:r>
    </w:p>
    <w:p w14:paraId="412586C5" w14:textId="77777777" w:rsidR="00B60CBC" w:rsidRPr="00D47F3A" w:rsidRDefault="00B60CBC" w:rsidP="00ED5B5F">
      <w:pPr>
        <w:pStyle w:val="NoSpacing"/>
        <w:rPr>
          <w:rFonts w:ascii="Calibri" w:hAnsi="Calibri" w:cs="Calibri"/>
          <w:sz w:val="24"/>
          <w:szCs w:val="24"/>
        </w:rPr>
      </w:pPr>
    </w:p>
    <w:p w14:paraId="4F71AAB6" w14:textId="1019D045" w:rsidR="00B60CBC" w:rsidRPr="00D47F3A" w:rsidRDefault="002268BE" w:rsidP="00ED5B5F">
      <w:pPr>
        <w:pStyle w:val="NoSpacing"/>
        <w:rPr>
          <w:rFonts w:ascii="Calibri" w:hAnsi="Calibri" w:cs="Calibri"/>
          <w:b/>
          <w:bCs/>
          <w:sz w:val="24"/>
          <w:szCs w:val="24"/>
        </w:rPr>
      </w:pPr>
      <w:r w:rsidRPr="00D47F3A">
        <w:rPr>
          <w:rFonts w:ascii="Calibri" w:hAnsi="Calibri" w:cs="Calibri"/>
          <w:b/>
          <w:bCs/>
          <w:sz w:val="24"/>
          <w:szCs w:val="24"/>
        </w:rPr>
        <w:t>Diocesan Guidance on the use of Faith Based Oversubscription Criteria</w:t>
      </w:r>
    </w:p>
    <w:p w14:paraId="3F6FD0AB" w14:textId="08B26FBF" w:rsidR="002268BE" w:rsidRPr="00D47F3A" w:rsidRDefault="002268BE" w:rsidP="00ED5B5F">
      <w:pPr>
        <w:pStyle w:val="NoSpacing"/>
        <w:rPr>
          <w:rFonts w:ascii="Calibri" w:hAnsi="Calibri" w:cs="Calibri"/>
          <w:sz w:val="24"/>
          <w:szCs w:val="24"/>
        </w:rPr>
      </w:pPr>
      <w:r w:rsidRPr="00D47F3A">
        <w:rPr>
          <w:rFonts w:ascii="Calibri" w:hAnsi="Calibri" w:cs="Calibri"/>
          <w:sz w:val="24"/>
          <w:szCs w:val="24"/>
        </w:rPr>
        <w:t>In the instance that there are more applications than available places, the admissions authority must use their agreed oversubscription criteria to allocate places.</w:t>
      </w:r>
      <w:r w:rsidR="00961770">
        <w:rPr>
          <w:rFonts w:ascii="Calibri" w:hAnsi="Calibri" w:cs="Calibri"/>
          <w:sz w:val="24"/>
          <w:szCs w:val="24"/>
        </w:rPr>
        <w:t xml:space="preserve"> </w:t>
      </w:r>
      <w:r w:rsidRPr="00D47F3A">
        <w:rPr>
          <w:rFonts w:ascii="Calibri" w:hAnsi="Calibri" w:cs="Calibri"/>
          <w:sz w:val="24"/>
          <w:szCs w:val="24"/>
        </w:rPr>
        <w:t>The DBE does not give a definitive list of acceptable oversubscription criteria</w:t>
      </w:r>
      <w:r w:rsidR="00FF6113" w:rsidRPr="00D47F3A">
        <w:rPr>
          <w:rFonts w:ascii="Calibri" w:hAnsi="Calibri" w:cs="Calibri"/>
          <w:sz w:val="24"/>
          <w:szCs w:val="24"/>
        </w:rPr>
        <w:t>. The most common examples are set out in the Admissions Code 2021.</w:t>
      </w:r>
    </w:p>
    <w:p w14:paraId="423DA7BE" w14:textId="77777777" w:rsidR="00B60CBC" w:rsidRPr="00D47F3A" w:rsidRDefault="00B60CBC" w:rsidP="00ED5B5F">
      <w:pPr>
        <w:pStyle w:val="NoSpacing"/>
        <w:rPr>
          <w:rFonts w:ascii="Calibri" w:hAnsi="Calibri" w:cs="Calibri"/>
          <w:sz w:val="24"/>
          <w:szCs w:val="24"/>
        </w:rPr>
      </w:pPr>
    </w:p>
    <w:p w14:paraId="223EDCF4" w14:textId="22324A2F" w:rsidR="00FF6113" w:rsidRPr="00D47F3A" w:rsidRDefault="00FF6113" w:rsidP="00ED5B5F">
      <w:pPr>
        <w:pStyle w:val="NoSpacing"/>
        <w:rPr>
          <w:rFonts w:ascii="Calibri" w:hAnsi="Calibri" w:cs="Calibri"/>
          <w:sz w:val="24"/>
          <w:szCs w:val="24"/>
        </w:rPr>
      </w:pPr>
      <w:r w:rsidRPr="00D47F3A">
        <w:rPr>
          <w:rFonts w:ascii="Calibri" w:hAnsi="Calibri" w:cs="Calibri"/>
          <w:sz w:val="24"/>
          <w:szCs w:val="24"/>
        </w:rPr>
        <w:t xml:space="preserve">The Admissions Code states that: </w:t>
      </w:r>
      <w:r w:rsidR="00D15131" w:rsidRPr="00D47F3A">
        <w:rPr>
          <w:rFonts w:ascii="Calibri" w:hAnsi="Calibri" w:cs="Calibri"/>
          <w:sz w:val="24"/>
          <w:szCs w:val="24"/>
        </w:rPr>
        <w:t>“</w:t>
      </w:r>
      <w:r w:rsidRPr="00D47F3A">
        <w:rPr>
          <w:rFonts w:ascii="Calibri" w:hAnsi="Calibri" w:cs="Calibri"/>
          <w:sz w:val="24"/>
          <w:szCs w:val="24"/>
        </w:rPr>
        <w:t>Schools designated by the Secretary of State as having a religious character (commonly known as faith schools) may use faith-based oversubscription criteria and allocate places by reference to faith where the school is oversubscribed.</w:t>
      </w:r>
      <w:r w:rsidR="00D15131" w:rsidRPr="00D47F3A">
        <w:rPr>
          <w:rFonts w:ascii="Calibri" w:hAnsi="Calibri" w:cs="Calibri"/>
          <w:sz w:val="24"/>
          <w:szCs w:val="24"/>
        </w:rPr>
        <w:t>”</w:t>
      </w:r>
    </w:p>
    <w:p w14:paraId="60B173E0" w14:textId="77777777" w:rsidR="00D15131" w:rsidRPr="00D47F3A" w:rsidRDefault="00D15131" w:rsidP="00ED5B5F">
      <w:pPr>
        <w:pStyle w:val="NoSpacing"/>
        <w:rPr>
          <w:rFonts w:ascii="Calibri" w:hAnsi="Calibri" w:cs="Calibri"/>
          <w:sz w:val="24"/>
          <w:szCs w:val="24"/>
        </w:rPr>
      </w:pPr>
    </w:p>
    <w:p w14:paraId="6940ED5F" w14:textId="03D36AB6" w:rsidR="00FF6113" w:rsidRPr="00D47F3A" w:rsidRDefault="00FF6113" w:rsidP="00ED5B5F">
      <w:pPr>
        <w:pStyle w:val="NoSpacing"/>
        <w:rPr>
          <w:rFonts w:ascii="Calibri" w:hAnsi="Calibri" w:cs="Calibri"/>
          <w:sz w:val="24"/>
          <w:szCs w:val="24"/>
        </w:rPr>
      </w:pPr>
      <w:r w:rsidRPr="00D47F3A">
        <w:rPr>
          <w:rFonts w:ascii="Calibri" w:hAnsi="Calibri" w:cs="Calibri"/>
          <w:sz w:val="24"/>
          <w:szCs w:val="24"/>
        </w:rPr>
        <w:t>However, after careful consideration The Diocesan Board of Education advises that faith -based oversubscription criteria should not be used in admission arrangements.</w:t>
      </w:r>
    </w:p>
    <w:p w14:paraId="106949D8" w14:textId="77777777" w:rsidR="00D15131" w:rsidRPr="00D47F3A" w:rsidRDefault="00D15131" w:rsidP="00ED5B5F">
      <w:pPr>
        <w:pStyle w:val="NoSpacing"/>
        <w:rPr>
          <w:rFonts w:ascii="Calibri" w:hAnsi="Calibri" w:cs="Calibri"/>
          <w:i/>
          <w:iCs/>
          <w:sz w:val="24"/>
          <w:szCs w:val="24"/>
        </w:rPr>
      </w:pPr>
    </w:p>
    <w:p w14:paraId="347AD4AA" w14:textId="12D750BC" w:rsidR="00FF6113" w:rsidRPr="00D47F3A" w:rsidRDefault="00FF6113" w:rsidP="00ED5B5F">
      <w:pPr>
        <w:pStyle w:val="NoSpacing"/>
        <w:rPr>
          <w:rFonts w:ascii="Calibri" w:hAnsi="Calibri" w:cs="Calibri"/>
          <w:sz w:val="24"/>
          <w:szCs w:val="24"/>
        </w:rPr>
      </w:pPr>
      <w:r w:rsidRPr="00D47F3A">
        <w:rPr>
          <w:rFonts w:ascii="Calibri" w:hAnsi="Calibri" w:cs="Calibri"/>
          <w:sz w:val="24"/>
          <w:szCs w:val="24"/>
        </w:rPr>
        <w:t xml:space="preserve">Church schools within our diocese are schools for all; those of the Christian faith, those of other faiths and those with no religious faith. Our schools are places for the whole community to be welcomed into with impartiality. If we believe in community and dignity, evidenced through just systems, we should not set up exclusive criteria but actively build communities and promote living well together whilst ensuring all are treated with dignity </w:t>
      </w:r>
      <w:r w:rsidRPr="00D47F3A">
        <w:rPr>
          <w:rFonts w:ascii="Calibri" w:hAnsi="Calibri" w:cs="Calibri"/>
          <w:sz w:val="24"/>
          <w:szCs w:val="24"/>
        </w:rPr>
        <w:lastRenderedPageBreak/>
        <w:t xml:space="preserve">and respect. Bath and Wells Diocesan Board of Education advises that this principle is explicitly reflected within church school admission arrangements. </w:t>
      </w:r>
    </w:p>
    <w:p w14:paraId="4975BC47" w14:textId="77777777" w:rsidR="00D47F3A" w:rsidRPr="00D47F3A" w:rsidRDefault="00D47F3A" w:rsidP="00ED5B5F">
      <w:pPr>
        <w:pStyle w:val="NoSpacing"/>
        <w:rPr>
          <w:rFonts w:ascii="Calibri" w:hAnsi="Calibri" w:cs="Calibri"/>
          <w:sz w:val="24"/>
          <w:szCs w:val="24"/>
        </w:rPr>
      </w:pPr>
    </w:p>
    <w:p w14:paraId="24849190" w14:textId="77777777" w:rsidR="00FF6113" w:rsidRPr="00D47F3A" w:rsidRDefault="00FF6113" w:rsidP="00ED5B5F">
      <w:pPr>
        <w:pStyle w:val="NoSpacing"/>
        <w:rPr>
          <w:rFonts w:ascii="Calibri" w:hAnsi="Calibri" w:cs="Calibri"/>
          <w:sz w:val="24"/>
          <w:szCs w:val="24"/>
        </w:rPr>
      </w:pPr>
      <w:r w:rsidRPr="00D47F3A">
        <w:rPr>
          <w:rFonts w:ascii="Calibri" w:hAnsi="Calibri" w:cs="Calibri"/>
          <w:sz w:val="24"/>
          <w:szCs w:val="24"/>
        </w:rPr>
        <w:t xml:space="preserve">All church schools are inclusive, and sustainable, providing the highest quality of education for all pupils, enabling individuals and whole communities to flourish. </w:t>
      </w:r>
    </w:p>
    <w:p w14:paraId="08DFB800" w14:textId="4E977C33" w:rsidR="00B4722C" w:rsidRPr="00D47F3A" w:rsidRDefault="00FF6113" w:rsidP="00ED5B5F">
      <w:pPr>
        <w:pStyle w:val="NoSpacing"/>
        <w:rPr>
          <w:rFonts w:ascii="Calibri" w:hAnsi="Calibri" w:cs="Calibri"/>
          <w:sz w:val="24"/>
          <w:szCs w:val="24"/>
          <w:lang w:val="en-US"/>
        </w:rPr>
      </w:pPr>
      <w:r w:rsidRPr="00D47F3A">
        <w:rPr>
          <w:rFonts w:ascii="Calibri" w:hAnsi="Calibri" w:cs="Calibri"/>
          <w:sz w:val="24"/>
          <w:szCs w:val="24"/>
        </w:rPr>
        <w:t>DBE Strategic Plan 2022</w:t>
      </w:r>
    </w:p>
    <w:p w14:paraId="28DF9E34" w14:textId="77777777" w:rsidR="00D9779E" w:rsidRPr="005B7DB8" w:rsidRDefault="00D9779E" w:rsidP="00ED5B5F">
      <w:pPr>
        <w:pStyle w:val="NoSpacing"/>
        <w:rPr>
          <w:lang w:val="en-US"/>
        </w:rPr>
      </w:pPr>
    </w:p>
    <w:sectPr w:rsidR="00D9779E" w:rsidRPr="005B7DB8" w:rsidSect="000D3885">
      <w:headerReference w:type="default"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82B84" w14:textId="77777777" w:rsidR="00F031B5" w:rsidRDefault="00F031B5" w:rsidP="00055664">
      <w:pPr>
        <w:spacing w:after="0" w:line="240" w:lineRule="auto"/>
      </w:pPr>
      <w:r>
        <w:separator/>
      </w:r>
    </w:p>
  </w:endnote>
  <w:endnote w:type="continuationSeparator" w:id="0">
    <w:p w14:paraId="22739F9E" w14:textId="77777777" w:rsidR="00F031B5" w:rsidRDefault="00F031B5" w:rsidP="00055664">
      <w:pPr>
        <w:spacing w:after="0" w:line="240" w:lineRule="auto"/>
      </w:pPr>
      <w:r>
        <w:continuationSeparator/>
      </w:r>
    </w:p>
  </w:endnote>
  <w:endnote w:type="continuationNotice" w:id="1">
    <w:p w14:paraId="6C7EC41E" w14:textId="77777777" w:rsidR="00F031B5" w:rsidRDefault="00F03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85C3" w14:textId="0D03C387" w:rsidR="003E7A32" w:rsidRDefault="003E7A32">
    <w:pPr>
      <w:pStyle w:val="Footer"/>
    </w:pPr>
    <w:r>
      <w:t>September 2024</w:t>
    </w:r>
  </w:p>
  <w:p w14:paraId="310FFA07" w14:textId="77777777" w:rsidR="003E7A32" w:rsidRDefault="003E7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FFCD5" w14:textId="77777777" w:rsidR="00F031B5" w:rsidRDefault="00F031B5" w:rsidP="00055664">
      <w:pPr>
        <w:spacing w:after="0" w:line="240" w:lineRule="auto"/>
      </w:pPr>
      <w:r>
        <w:separator/>
      </w:r>
    </w:p>
  </w:footnote>
  <w:footnote w:type="continuationSeparator" w:id="0">
    <w:p w14:paraId="06237BA6" w14:textId="77777777" w:rsidR="00F031B5" w:rsidRDefault="00F031B5" w:rsidP="00055664">
      <w:pPr>
        <w:spacing w:after="0" w:line="240" w:lineRule="auto"/>
      </w:pPr>
      <w:r>
        <w:continuationSeparator/>
      </w:r>
    </w:p>
  </w:footnote>
  <w:footnote w:type="continuationNotice" w:id="1">
    <w:p w14:paraId="53876D40" w14:textId="77777777" w:rsidR="00F031B5" w:rsidRDefault="00F031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37AA3" w14:textId="77777777" w:rsidR="00055B96" w:rsidRDefault="00055B96">
    <w:pPr>
      <w:pStyle w:val="Header"/>
      <w:rPr>
        <w:rStyle w:val="wacimagecontainer"/>
        <w:rFonts w:ascii="Segoe UI" w:hAnsi="Segoe UI" w:cs="Segoe UI"/>
        <w:noProof/>
        <w:color w:val="000000"/>
        <w:sz w:val="18"/>
        <w:szCs w:val="18"/>
        <w:shd w:val="clear" w:color="auto" w:fill="FFFFFF"/>
      </w:rPr>
    </w:pPr>
  </w:p>
  <w:p w14:paraId="24F095D5" w14:textId="629D7FC6" w:rsidR="00055664" w:rsidRDefault="00055B96" w:rsidP="00055B96">
    <w:pPr>
      <w:pStyle w:val="Header"/>
      <w:jc w:val="right"/>
    </w:pPr>
    <w:r>
      <w:rPr>
        <w:rFonts w:ascii="Aptos" w:hAnsi="Aptos"/>
        <w:noProof/>
        <w:color w:val="000000"/>
        <w:shd w:val="clear" w:color="auto" w:fill="FFFFFF"/>
      </w:rPr>
      <w:drawing>
        <wp:inline distT="0" distB="0" distL="0" distR="0" wp14:anchorId="73F9EA91" wp14:editId="0D99ABF4">
          <wp:extent cx="2155313" cy="683177"/>
          <wp:effectExtent l="0" t="0" r="0" b="3175"/>
          <wp:docPr id="184849522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495220"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2310" cy="701244"/>
                  </a:xfrm>
                  <a:prstGeom prst="rect">
                    <a:avLst/>
                  </a:prstGeom>
                </pic:spPr>
              </pic:pic>
            </a:graphicData>
          </a:graphic>
        </wp:inline>
      </w:drawing>
    </w:r>
    <w:r w:rsidR="00055664">
      <w:rPr>
        <w:rFonts w:ascii="Aptos" w:hAnsi="Apto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A1066"/>
    <w:multiLevelType w:val="hybridMultilevel"/>
    <w:tmpl w:val="6B80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4B2CDB"/>
    <w:multiLevelType w:val="hybridMultilevel"/>
    <w:tmpl w:val="DB561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3659A2"/>
    <w:multiLevelType w:val="hybridMultilevel"/>
    <w:tmpl w:val="D3AC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467253">
    <w:abstractNumId w:val="1"/>
  </w:num>
  <w:num w:numId="2" w16cid:durableId="1271275168">
    <w:abstractNumId w:val="0"/>
  </w:num>
  <w:num w:numId="3" w16cid:durableId="663780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2C"/>
    <w:rsid w:val="00043256"/>
    <w:rsid w:val="00055664"/>
    <w:rsid w:val="00055B96"/>
    <w:rsid w:val="000601F6"/>
    <w:rsid w:val="00060E21"/>
    <w:rsid w:val="00082576"/>
    <w:rsid w:val="000D3885"/>
    <w:rsid w:val="00182018"/>
    <w:rsid w:val="002268BE"/>
    <w:rsid w:val="00311BF8"/>
    <w:rsid w:val="00346DAE"/>
    <w:rsid w:val="003E7A32"/>
    <w:rsid w:val="00410CC9"/>
    <w:rsid w:val="00411A7A"/>
    <w:rsid w:val="00486496"/>
    <w:rsid w:val="00520391"/>
    <w:rsid w:val="005B7DB8"/>
    <w:rsid w:val="00644333"/>
    <w:rsid w:val="006C17CF"/>
    <w:rsid w:val="007F291E"/>
    <w:rsid w:val="00854DD8"/>
    <w:rsid w:val="00961770"/>
    <w:rsid w:val="00974EF8"/>
    <w:rsid w:val="009A1933"/>
    <w:rsid w:val="00B4722C"/>
    <w:rsid w:val="00B60CBC"/>
    <w:rsid w:val="00B8506B"/>
    <w:rsid w:val="00C36811"/>
    <w:rsid w:val="00D15131"/>
    <w:rsid w:val="00D47F3A"/>
    <w:rsid w:val="00D9779E"/>
    <w:rsid w:val="00E6177B"/>
    <w:rsid w:val="00ED5B5F"/>
    <w:rsid w:val="00F031B5"/>
    <w:rsid w:val="00FF6113"/>
    <w:rsid w:val="1C60B27B"/>
    <w:rsid w:val="3E829A30"/>
    <w:rsid w:val="4042A941"/>
    <w:rsid w:val="779545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58C14"/>
  <w15:chartTrackingRefBased/>
  <w15:docId w15:val="{CB252409-CD60-4149-A0B4-8535EBE8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2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2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2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2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2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2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2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2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2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2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2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2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2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2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2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2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2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22C"/>
    <w:rPr>
      <w:rFonts w:eastAsiaTheme="majorEastAsia" w:cstheme="majorBidi"/>
      <w:color w:val="272727" w:themeColor="text1" w:themeTint="D8"/>
    </w:rPr>
  </w:style>
  <w:style w:type="paragraph" w:styleId="Title">
    <w:name w:val="Title"/>
    <w:basedOn w:val="Normal"/>
    <w:next w:val="Normal"/>
    <w:link w:val="TitleChar"/>
    <w:uiPriority w:val="10"/>
    <w:qFormat/>
    <w:rsid w:val="00B472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2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2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2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22C"/>
    <w:pPr>
      <w:spacing w:before="160"/>
      <w:jc w:val="center"/>
    </w:pPr>
    <w:rPr>
      <w:i/>
      <w:iCs/>
      <w:color w:val="404040" w:themeColor="text1" w:themeTint="BF"/>
    </w:rPr>
  </w:style>
  <w:style w:type="character" w:customStyle="1" w:styleId="QuoteChar">
    <w:name w:val="Quote Char"/>
    <w:basedOn w:val="DefaultParagraphFont"/>
    <w:link w:val="Quote"/>
    <w:uiPriority w:val="29"/>
    <w:rsid w:val="00B4722C"/>
    <w:rPr>
      <w:i/>
      <w:iCs/>
      <w:color w:val="404040" w:themeColor="text1" w:themeTint="BF"/>
    </w:rPr>
  </w:style>
  <w:style w:type="paragraph" w:styleId="ListParagraph">
    <w:name w:val="List Paragraph"/>
    <w:basedOn w:val="Normal"/>
    <w:uiPriority w:val="34"/>
    <w:qFormat/>
    <w:rsid w:val="00B4722C"/>
    <w:pPr>
      <w:ind w:left="720"/>
      <w:contextualSpacing/>
    </w:pPr>
  </w:style>
  <w:style w:type="character" w:styleId="IntenseEmphasis">
    <w:name w:val="Intense Emphasis"/>
    <w:basedOn w:val="DefaultParagraphFont"/>
    <w:uiPriority w:val="21"/>
    <w:qFormat/>
    <w:rsid w:val="00B4722C"/>
    <w:rPr>
      <w:i/>
      <w:iCs/>
      <w:color w:val="0F4761" w:themeColor="accent1" w:themeShade="BF"/>
    </w:rPr>
  </w:style>
  <w:style w:type="paragraph" w:styleId="IntenseQuote">
    <w:name w:val="Intense Quote"/>
    <w:basedOn w:val="Normal"/>
    <w:next w:val="Normal"/>
    <w:link w:val="IntenseQuoteChar"/>
    <w:uiPriority w:val="30"/>
    <w:qFormat/>
    <w:rsid w:val="00B47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22C"/>
    <w:rPr>
      <w:i/>
      <w:iCs/>
      <w:color w:val="0F4761" w:themeColor="accent1" w:themeShade="BF"/>
    </w:rPr>
  </w:style>
  <w:style w:type="character" w:styleId="IntenseReference">
    <w:name w:val="Intense Reference"/>
    <w:basedOn w:val="DefaultParagraphFont"/>
    <w:uiPriority w:val="32"/>
    <w:qFormat/>
    <w:rsid w:val="00B4722C"/>
    <w:rPr>
      <w:b/>
      <w:bCs/>
      <w:smallCaps/>
      <w:color w:val="0F4761" w:themeColor="accent1" w:themeShade="BF"/>
      <w:spacing w:val="5"/>
    </w:rPr>
  </w:style>
  <w:style w:type="paragraph" w:styleId="Header">
    <w:name w:val="header"/>
    <w:basedOn w:val="Normal"/>
    <w:link w:val="HeaderChar"/>
    <w:uiPriority w:val="99"/>
    <w:unhideWhenUsed/>
    <w:rsid w:val="00055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664"/>
  </w:style>
  <w:style w:type="paragraph" w:styleId="Footer">
    <w:name w:val="footer"/>
    <w:basedOn w:val="Normal"/>
    <w:link w:val="FooterChar"/>
    <w:uiPriority w:val="99"/>
    <w:unhideWhenUsed/>
    <w:rsid w:val="00055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664"/>
  </w:style>
  <w:style w:type="character" w:customStyle="1" w:styleId="wacimagecontainer">
    <w:name w:val="wacimagecontainer"/>
    <w:basedOn w:val="DefaultParagraphFont"/>
    <w:rsid w:val="00055664"/>
  </w:style>
  <w:style w:type="paragraph" w:styleId="NoSpacing">
    <w:name w:val="No Spacing"/>
    <w:uiPriority w:val="1"/>
    <w:qFormat/>
    <w:rsid w:val="00C368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69E7DD2774343AC280CC6A10C9F3E" ma:contentTypeVersion="10" ma:contentTypeDescription="Create a new document." ma:contentTypeScope="" ma:versionID="c98bd9b654c6206254ff24d02ad3dbe4">
  <xsd:schema xmlns:xsd="http://www.w3.org/2001/XMLSchema" xmlns:xs="http://www.w3.org/2001/XMLSchema" xmlns:p="http://schemas.microsoft.com/office/2006/metadata/properties" xmlns:ns2="9a9951e7-c101-44cd-bf5c-58130f3abb7b" xmlns:ns3="aa25b9b0-cfd1-49f1-b8a7-2b7599b02409" targetNamespace="http://schemas.microsoft.com/office/2006/metadata/properties" ma:root="true" ma:fieldsID="ba8fb3b29ccbd350eb7822dde837b5cb" ns2:_="" ns3:_="">
    <xsd:import namespace="9a9951e7-c101-44cd-bf5c-58130f3abb7b"/>
    <xsd:import namespace="aa25b9b0-cfd1-49f1-b8a7-2b7599b02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951e7-c101-44cd-bf5c-58130f3ab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25b9b0-cfd1-49f1-b8a7-2b7599b024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465AE2-48D1-4168-A44E-BFD9996EA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951e7-c101-44cd-bf5c-58130f3abb7b"/>
    <ds:schemaRef ds:uri="aa25b9b0-cfd1-49f1-b8a7-2b7599b0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476AD-48E7-4326-880C-3F4B916D4347}">
  <ds:schemaRefs>
    <ds:schemaRef ds:uri="http://schemas.microsoft.com/sharepoint/v3/contenttype/forms"/>
  </ds:schemaRefs>
</ds:datastoreItem>
</file>

<file path=customXml/itemProps3.xml><?xml version="1.0" encoding="utf-8"?>
<ds:datastoreItem xmlns:ds="http://schemas.openxmlformats.org/officeDocument/2006/customXml" ds:itemID="{35C05A0A-7720-479B-BC1C-B401A8D542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Jenkins</dc:creator>
  <cp:keywords/>
  <dc:description/>
  <cp:lastModifiedBy>Johanna Halla</cp:lastModifiedBy>
  <cp:revision>14</cp:revision>
  <dcterms:created xsi:type="dcterms:W3CDTF">2024-09-09T10:27:00Z</dcterms:created>
  <dcterms:modified xsi:type="dcterms:W3CDTF">2024-09-09T11:14:00Z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0x01010089969E7DD2774343AC280CC6A10C9F3E</vt:lpwstr>
  </property>
</Properties>
</file>