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1E27" w14:textId="77777777" w:rsidR="000C53F2" w:rsidRPr="00E2120D" w:rsidRDefault="000C53F2" w:rsidP="00670625">
      <w:pPr>
        <w:pStyle w:val="Header"/>
        <w:rPr>
          <w:rFonts w:cs="Arial"/>
          <w:sz w:val="32"/>
          <w:szCs w:val="32"/>
        </w:rPr>
      </w:pPr>
      <w:r w:rsidRPr="00E2120D">
        <w:rPr>
          <w:rFonts w:cs="Arial"/>
          <w:sz w:val="32"/>
          <w:szCs w:val="32"/>
        </w:rPr>
        <w:t>Whistleblowing policy</w:t>
      </w:r>
    </w:p>
    <w:p w14:paraId="7AEF73F7" w14:textId="77777777" w:rsidR="000C53F2" w:rsidRPr="00E2120D" w:rsidRDefault="000C53F2" w:rsidP="00670625">
      <w:pPr>
        <w:rPr>
          <w:rFonts w:cs="Arial"/>
          <w:szCs w:val="24"/>
        </w:rPr>
      </w:pPr>
    </w:p>
    <w:p w14:paraId="4F40B49B" w14:textId="77777777" w:rsidR="000C53F2" w:rsidRPr="00E2120D" w:rsidRDefault="000C53F2" w:rsidP="00670625">
      <w:pPr>
        <w:pStyle w:val="Customisabledocumentheading"/>
        <w:rPr>
          <w:rFonts w:cs="Arial"/>
          <w:sz w:val="28"/>
          <w:szCs w:val="24"/>
        </w:rPr>
      </w:pPr>
      <w:r w:rsidRPr="00E2120D">
        <w:rPr>
          <w:rFonts w:cs="Arial"/>
          <w:sz w:val="28"/>
          <w:szCs w:val="24"/>
        </w:rPr>
        <w:t>Definition</w:t>
      </w:r>
    </w:p>
    <w:p w14:paraId="5E51CD07" w14:textId="77777777" w:rsidR="00E2120D" w:rsidRDefault="00E2120D" w:rsidP="00670625">
      <w:pPr>
        <w:rPr>
          <w:rFonts w:cs="Arial"/>
          <w:szCs w:val="24"/>
        </w:rPr>
      </w:pPr>
    </w:p>
    <w:p w14:paraId="005D6B1D" w14:textId="2952F838" w:rsidR="000C53F2" w:rsidRPr="00E2120D" w:rsidRDefault="002A502E" w:rsidP="00670625">
      <w:pPr>
        <w:rPr>
          <w:rFonts w:cs="Arial"/>
          <w:szCs w:val="24"/>
        </w:rPr>
      </w:pPr>
      <w:r w:rsidRPr="00E2120D">
        <w:rPr>
          <w:rFonts w:cs="Arial"/>
          <w:szCs w:val="24"/>
        </w:rPr>
        <w:t>Whistleblowing</w:t>
      </w:r>
      <w:r w:rsidR="007F1AB6" w:rsidRPr="00E2120D">
        <w:rPr>
          <w:rFonts w:cs="Arial"/>
          <w:szCs w:val="24"/>
        </w:rPr>
        <w:t xml:space="preserve"> is </w:t>
      </w:r>
      <w:r w:rsidR="00C24ECD" w:rsidRPr="00E2120D">
        <w:rPr>
          <w:rFonts w:cs="Arial"/>
          <w:szCs w:val="24"/>
        </w:rPr>
        <w:t>the name given to the act of the disclosure of information to the employer or the relevant authority by an individual who</w:t>
      </w:r>
      <w:r w:rsidR="00DA4F19" w:rsidRPr="00E2120D">
        <w:rPr>
          <w:rFonts w:cs="Arial"/>
          <w:szCs w:val="24"/>
        </w:rPr>
        <w:t xml:space="preserve"> </w:t>
      </w:r>
      <w:r w:rsidR="00C24ECD" w:rsidRPr="00E2120D">
        <w:rPr>
          <w:rFonts w:cs="Arial"/>
          <w:szCs w:val="24"/>
        </w:rPr>
        <w:t xml:space="preserve">knows, or </w:t>
      </w:r>
      <w:r w:rsidR="001C44CA" w:rsidRPr="00E2120D">
        <w:rPr>
          <w:rFonts w:cs="Arial"/>
          <w:szCs w:val="24"/>
        </w:rPr>
        <w:t>suspects</w:t>
      </w:r>
      <w:r w:rsidR="00C24ECD" w:rsidRPr="00E2120D">
        <w:rPr>
          <w:rFonts w:cs="Arial"/>
          <w:szCs w:val="24"/>
        </w:rPr>
        <w:t xml:space="preserve">, that the </w:t>
      </w:r>
      <w:r w:rsidR="00E2120D">
        <w:rPr>
          <w:rFonts w:cs="Arial"/>
          <w:szCs w:val="24"/>
        </w:rPr>
        <w:t>Organisation</w:t>
      </w:r>
      <w:r w:rsidR="00C24ECD" w:rsidRPr="00E2120D">
        <w:rPr>
          <w:rFonts w:cs="Arial"/>
          <w:szCs w:val="24"/>
        </w:rPr>
        <w:t xml:space="preserve"> </w:t>
      </w:r>
      <w:r w:rsidR="001C44CA" w:rsidRPr="00E2120D">
        <w:rPr>
          <w:rFonts w:cs="Arial"/>
          <w:szCs w:val="24"/>
        </w:rPr>
        <w:t>is</w:t>
      </w:r>
      <w:r w:rsidR="00C24ECD" w:rsidRPr="00E2120D">
        <w:rPr>
          <w:rFonts w:cs="Arial"/>
          <w:szCs w:val="24"/>
        </w:rPr>
        <w:t xml:space="preserve"> responsible for or taken part in some wrongdoing.</w:t>
      </w:r>
    </w:p>
    <w:p w14:paraId="1AE2F1FB" w14:textId="77777777" w:rsidR="000C53F2" w:rsidRPr="00E2120D" w:rsidRDefault="000C53F2" w:rsidP="00670625">
      <w:pPr>
        <w:rPr>
          <w:rFonts w:cs="Arial"/>
          <w:szCs w:val="24"/>
        </w:rPr>
      </w:pPr>
    </w:p>
    <w:p w14:paraId="0F69F7BD" w14:textId="77777777" w:rsidR="00C24ECD" w:rsidRPr="00E2120D" w:rsidRDefault="00C24ECD" w:rsidP="00670625">
      <w:pPr>
        <w:rPr>
          <w:rFonts w:cs="Arial"/>
          <w:szCs w:val="24"/>
        </w:rPr>
      </w:pPr>
      <w:r w:rsidRPr="00E2120D">
        <w:rPr>
          <w:rFonts w:cs="Arial"/>
          <w:szCs w:val="24"/>
        </w:rPr>
        <w:t xml:space="preserve">Those making qualifying disclosures are protected against </w:t>
      </w:r>
      <w:r w:rsidR="001C44CA" w:rsidRPr="00E2120D">
        <w:rPr>
          <w:rFonts w:cs="Arial"/>
          <w:szCs w:val="24"/>
        </w:rPr>
        <w:t xml:space="preserve">dismissal or detriment </w:t>
      </w:r>
      <w:r w:rsidRPr="00E2120D">
        <w:rPr>
          <w:rFonts w:cs="Arial"/>
          <w:szCs w:val="24"/>
        </w:rPr>
        <w:t xml:space="preserve">by </w:t>
      </w:r>
      <w:r w:rsidR="00DA4F19" w:rsidRPr="00E2120D">
        <w:rPr>
          <w:rFonts w:cs="Arial"/>
          <w:szCs w:val="24"/>
        </w:rPr>
        <w:t>The Public Interest Disclosure Act 1998</w:t>
      </w:r>
      <w:r w:rsidR="001C44CA" w:rsidRPr="00E2120D">
        <w:rPr>
          <w:rFonts w:cs="Arial"/>
          <w:szCs w:val="24"/>
        </w:rPr>
        <w:t>.</w:t>
      </w:r>
    </w:p>
    <w:p w14:paraId="6F51CF72" w14:textId="77777777" w:rsidR="00C24ECD" w:rsidRPr="00E2120D" w:rsidRDefault="00C24ECD" w:rsidP="00C24ECD">
      <w:pPr>
        <w:rPr>
          <w:rFonts w:cs="Arial"/>
          <w:szCs w:val="24"/>
        </w:rPr>
      </w:pPr>
    </w:p>
    <w:p w14:paraId="309034B0" w14:textId="77777777" w:rsidR="00C24ECD" w:rsidRPr="00E2120D" w:rsidRDefault="001C44CA" w:rsidP="00C24ECD">
      <w:pPr>
        <w:rPr>
          <w:rFonts w:cs="Arial"/>
          <w:b/>
          <w:sz w:val="28"/>
          <w:szCs w:val="24"/>
        </w:rPr>
      </w:pPr>
      <w:r w:rsidRPr="00E2120D">
        <w:rPr>
          <w:rFonts w:cs="Arial"/>
          <w:b/>
          <w:sz w:val="28"/>
          <w:szCs w:val="24"/>
        </w:rPr>
        <w:t>Qualifying disclosures</w:t>
      </w:r>
    </w:p>
    <w:p w14:paraId="6768A70B" w14:textId="77777777" w:rsidR="00E2120D" w:rsidRDefault="00E2120D" w:rsidP="00C24ECD">
      <w:pPr>
        <w:rPr>
          <w:rFonts w:cs="Arial"/>
          <w:szCs w:val="24"/>
        </w:rPr>
      </w:pPr>
    </w:p>
    <w:p w14:paraId="2742098C" w14:textId="782BBA65" w:rsidR="00C24ECD" w:rsidRPr="00E2120D" w:rsidRDefault="00C24ECD" w:rsidP="00C24ECD">
      <w:pPr>
        <w:rPr>
          <w:rFonts w:cs="Arial"/>
          <w:szCs w:val="24"/>
        </w:rPr>
      </w:pPr>
      <w:r w:rsidRPr="00E2120D">
        <w:rPr>
          <w:rFonts w:cs="Arial"/>
          <w:szCs w:val="24"/>
        </w:rPr>
        <w:t xml:space="preserve">Certain disclosures are prescribed by law as “qualifying disclosures”. A “qualifying disclosure” means a disclosure of information that </w:t>
      </w:r>
      <w:r w:rsidR="001E4707">
        <w:rPr>
          <w:rFonts w:cs="Arial"/>
          <w:szCs w:val="24"/>
        </w:rPr>
        <w:t>you</w:t>
      </w:r>
      <w:r w:rsidRPr="00E2120D">
        <w:rPr>
          <w:rFonts w:cs="Arial"/>
          <w:szCs w:val="24"/>
        </w:rPr>
        <w:t xml:space="preserve"> genuinely and reasonably </w:t>
      </w:r>
      <w:proofErr w:type="gramStart"/>
      <w:r w:rsidRPr="00E2120D">
        <w:rPr>
          <w:rFonts w:cs="Arial"/>
          <w:szCs w:val="24"/>
        </w:rPr>
        <w:t>believes</w:t>
      </w:r>
      <w:proofErr w:type="gramEnd"/>
      <w:r w:rsidRPr="00E2120D">
        <w:rPr>
          <w:rFonts w:cs="Arial"/>
          <w:szCs w:val="24"/>
        </w:rPr>
        <w:t xml:space="preserve"> is in the public interest and shows that the </w:t>
      </w:r>
      <w:r w:rsidR="00E2120D">
        <w:rPr>
          <w:rFonts w:cs="Arial"/>
          <w:szCs w:val="24"/>
        </w:rPr>
        <w:t>Organisation</w:t>
      </w:r>
      <w:r w:rsidRPr="00E2120D">
        <w:rPr>
          <w:rFonts w:cs="Arial"/>
          <w:szCs w:val="24"/>
        </w:rPr>
        <w:t xml:space="preserve"> has committed a “relevant failure” by:</w:t>
      </w:r>
    </w:p>
    <w:p w14:paraId="2B750FE2" w14:textId="77777777" w:rsidR="00C24ECD" w:rsidRPr="00E2120D" w:rsidRDefault="00C24ECD" w:rsidP="00C24ECD">
      <w:pPr>
        <w:rPr>
          <w:rFonts w:cs="Arial"/>
          <w:szCs w:val="24"/>
        </w:rPr>
      </w:pPr>
    </w:p>
    <w:p w14:paraId="44EF2AA4" w14:textId="77777777" w:rsidR="00C24ECD" w:rsidRPr="00E2120D" w:rsidRDefault="00C24ECD" w:rsidP="00B20229">
      <w:pPr>
        <w:pStyle w:val="ListParagraph"/>
        <w:numPr>
          <w:ilvl w:val="0"/>
          <w:numId w:val="16"/>
        </w:numPr>
        <w:rPr>
          <w:rFonts w:cs="Arial"/>
          <w:szCs w:val="24"/>
        </w:rPr>
      </w:pPr>
      <w:r w:rsidRPr="00E2120D">
        <w:rPr>
          <w:rFonts w:cs="Arial"/>
          <w:szCs w:val="24"/>
        </w:rPr>
        <w:t>com</w:t>
      </w:r>
      <w:r w:rsidR="00B20229" w:rsidRPr="00E2120D">
        <w:rPr>
          <w:rFonts w:cs="Arial"/>
          <w:szCs w:val="24"/>
        </w:rPr>
        <w:t>mitting a criminal offence</w:t>
      </w:r>
    </w:p>
    <w:p w14:paraId="2643B1BE" w14:textId="77777777" w:rsidR="00C24ECD" w:rsidRPr="00E2120D" w:rsidRDefault="00C24ECD" w:rsidP="00B20229">
      <w:pPr>
        <w:pStyle w:val="ListParagraph"/>
        <w:numPr>
          <w:ilvl w:val="0"/>
          <w:numId w:val="16"/>
        </w:numPr>
        <w:rPr>
          <w:rFonts w:cs="Arial"/>
          <w:szCs w:val="24"/>
        </w:rPr>
      </w:pPr>
      <w:r w:rsidRPr="00E2120D">
        <w:rPr>
          <w:rFonts w:cs="Arial"/>
          <w:szCs w:val="24"/>
        </w:rPr>
        <w:t>failing to</w:t>
      </w:r>
      <w:r w:rsidR="00B20229" w:rsidRPr="00E2120D">
        <w:rPr>
          <w:rFonts w:cs="Arial"/>
          <w:szCs w:val="24"/>
        </w:rPr>
        <w:t xml:space="preserve"> comply with a legal obligation</w:t>
      </w:r>
    </w:p>
    <w:p w14:paraId="0E06898A" w14:textId="77777777" w:rsidR="00C24ECD" w:rsidRPr="00E2120D" w:rsidRDefault="00B20229" w:rsidP="00B20229">
      <w:pPr>
        <w:pStyle w:val="ListParagraph"/>
        <w:numPr>
          <w:ilvl w:val="0"/>
          <w:numId w:val="16"/>
        </w:numPr>
        <w:rPr>
          <w:rFonts w:cs="Arial"/>
          <w:szCs w:val="24"/>
        </w:rPr>
      </w:pPr>
      <w:r w:rsidRPr="00E2120D">
        <w:rPr>
          <w:rFonts w:cs="Arial"/>
          <w:szCs w:val="24"/>
        </w:rPr>
        <w:t>a miscarriage of justice</w:t>
      </w:r>
    </w:p>
    <w:p w14:paraId="2BD7197F" w14:textId="77777777" w:rsidR="00C24ECD" w:rsidRPr="00E2120D" w:rsidRDefault="00C24ECD" w:rsidP="00B20229">
      <w:pPr>
        <w:pStyle w:val="ListParagraph"/>
        <w:numPr>
          <w:ilvl w:val="0"/>
          <w:numId w:val="16"/>
        </w:numPr>
        <w:rPr>
          <w:rFonts w:cs="Arial"/>
          <w:szCs w:val="24"/>
        </w:rPr>
      </w:pPr>
      <w:r w:rsidRPr="00E2120D">
        <w:rPr>
          <w:rFonts w:cs="Arial"/>
          <w:szCs w:val="24"/>
        </w:rPr>
        <w:t>endangering the hea</w:t>
      </w:r>
      <w:r w:rsidR="00B20229" w:rsidRPr="00E2120D">
        <w:rPr>
          <w:rFonts w:cs="Arial"/>
          <w:szCs w:val="24"/>
        </w:rPr>
        <w:t>lth and safety of an individual</w:t>
      </w:r>
    </w:p>
    <w:p w14:paraId="75F9F6F9" w14:textId="77777777" w:rsidR="00C24ECD" w:rsidRPr="00E2120D" w:rsidRDefault="00B20229" w:rsidP="00B20229">
      <w:pPr>
        <w:pStyle w:val="ListParagraph"/>
        <w:numPr>
          <w:ilvl w:val="0"/>
          <w:numId w:val="16"/>
        </w:numPr>
        <w:rPr>
          <w:rFonts w:cs="Arial"/>
          <w:szCs w:val="24"/>
        </w:rPr>
      </w:pPr>
      <w:r w:rsidRPr="00E2120D">
        <w:rPr>
          <w:rFonts w:cs="Arial"/>
          <w:szCs w:val="24"/>
        </w:rPr>
        <w:t>environmental damage or</w:t>
      </w:r>
    </w:p>
    <w:p w14:paraId="1184A67F" w14:textId="77777777" w:rsidR="00C24ECD" w:rsidRPr="00E2120D" w:rsidRDefault="00C24ECD" w:rsidP="00B20229">
      <w:pPr>
        <w:pStyle w:val="ListParagraph"/>
        <w:numPr>
          <w:ilvl w:val="0"/>
          <w:numId w:val="16"/>
        </w:numPr>
        <w:rPr>
          <w:rFonts w:cs="Arial"/>
          <w:szCs w:val="24"/>
        </w:rPr>
      </w:pPr>
      <w:r w:rsidRPr="00E2120D">
        <w:rPr>
          <w:rFonts w:cs="Arial"/>
          <w:szCs w:val="24"/>
        </w:rPr>
        <w:t>concealing any information relating to the above.</w:t>
      </w:r>
    </w:p>
    <w:p w14:paraId="28F40951" w14:textId="77777777" w:rsidR="00C24ECD" w:rsidRPr="00E2120D" w:rsidRDefault="00C24ECD" w:rsidP="00C24ECD">
      <w:pPr>
        <w:rPr>
          <w:rFonts w:cs="Arial"/>
          <w:szCs w:val="24"/>
        </w:rPr>
      </w:pPr>
    </w:p>
    <w:p w14:paraId="35161E3A" w14:textId="078FDAAB" w:rsidR="00C24ECD" w:rsidRPr="00E2120D" w:rsidRDefault="00C24ECD" w:rsidP="00C24ECD">
      <w:pPr>
        <w:rPr>
          <w:rFonts w:cs="Arial"/>
          <w:szCs w:val="24"/>
        </w:rPr>
      </w:pPr>
      <w:r w:rsidRPr="00E2120D">
        <w:rPr>
          <w:rFonts w:cs="Arial"/>
          <w:szCs w:val="24"/>
        </w:rPr>
        <w:t xml:space="preserve">These acts can be in the past, present or future, so that, for example, a disclosure qualifies if it relates to environmental damage that has happened, is happening, or is likely to happen. The </w:t>
      </w:r>
      <w:r w:rsidR="00E2120D">
        <w:rPr>
          <w:rFonts w:cs="Arial"/>
          <w:szCs w:val="24"/>
        </w:rPr>
        <w:t>Organisation</w:t>
      </w:r>
      <w:r w:rsidRPr="00E2120D">
        <w:rPr>
          <w:rFonts w:cs="Arial"/>
          <w:szCs w:val="24"/>
        </w:rPr>
        <w:t xml:space="preserve"> will take any concerns that you may raise relating to the above matters very seriously.</w:t>
      </w:r>
    </w:p>
    <w:p w14:paraId="2C925A95" w14:textId="77777777" w:rsidR="00C24ECD" w:rsidRPr="00E2120D" w:rsidRDefault="00C24ECD" w:rsidP="00C24ECD">
      <w:pPr>
        <w:rPr>
          <w:rFonts w:cs="Arial"/>
          <w:szCs w:val="24"/>
        </w:rPr>
      </w:pPr>
    </w:p>
    <w:p w14:paraId="32EB69D8" w14:textId="189EFDEB" w:rsidR="001E4707" w:rsidRPr="001E4707" w:rsidRDefault="001E4707" w:rsidP="001E4707">
      <w:pPr>
        <w:pStyle w:val="GaramondNumbers"/>
        <w:numPr>
          <w:ilvl w:val="0"/>
          <w:numId w:val="0"/>
        </w:numPr>
        <w:rPr>
          <w:rFonts w:ascii="Arial" w:hAnsi="Arial"/>
          <w:sz w:val="24"/>
          <w:szCs w:val="20"/>
        </w:rPr>
      </w:pPr>
      <w:r w:rsidRPr="001E4707">
        <w:rPr>
          <w:rFonts w:ascii="Arial" w:hAnsi="Arial"/>
          <w:sz w:val="24"/>
          <w:szCs w:val="22"/>
        </w:rPr>
        <w:t xml:space="preserve">The Employment Rights Act 1996 provides protection for workers who ‘blow the whistle’ where they </w:t>
      </w:r>
      <w:r w:rsidRPr="001E4707">
        <w:rPr>
          <w:rFonts w:ascii="Arial" w:hAnsi="Arial"/>
          <w:sz w:val="24"/>
          <w:szCs w:val="20"/>
        </w:rPr>
        <w:t xml:space="preserve">reasonably believe that </w:t>
      </w:r>
      <w:r w:rsidRPr="001E4707">
        <w:rPr>
          <w:rFonts w:ascii="Arial" w:hAnsi="Arial"/>
          <w:sz w:val="24"/>
          <w:szCs w:val="22"/>
        </w:rPr>
        <w:t xml:space="preserve">some form of illegality, injustice or breach of health and safety has occurred or is likely to occur. The disclosure </w:t>
      </w:r>
      <w:proofErr w:type="gramStart"/>
      <w:r w:rsidRPr="001E4707">
        <w:rPr>
          <w:rFonts w:ascii="Arial" w:hAnsi="Arial"/>
          <w:sz w:val="24"/>
          <w:szCs w:val="22"/>
        </w:rPr>
        <w:t>has to</w:t>
      </w:r>
      <w:proofErr w:type="gramEnd"/>
      <w:r w:rsidRPr="001E4707">
        <w:rPr>
          <w:rFonts w:ascii="Arial" w:hAnsi="Arial"/>
          <w:sz w:val="24"/>
          <w:szCs w:val="22"/>
        </w:rPr>
        <w:t xml:space="preserve"> be </w:t>
      </w:r>
      <w:r w:rsidRPr="001E4707">
        <w:rPr>
          <w:rFonts w:ascii="Arial" w:hAnsi="Arial"/>
          <w:sz w:val="24"/>
          <w:szCs w:val="20"/>
        </w:rPr>
        <w:t>“in the public interest”. We encourage you to use the procedure to raise any such concerns.</w:t>
      </w:r>
    </w:p>
    <w:p w14:paraId="5F0AF565" w14:textId="77777777" w:rsidR="00C24ECD" w:rsidRPr="00E2120D" w:rsidRDefault="00C24ECD" w:rsidP="00C24ECD">
      <w:pPr>
        <w:rPr>
          <w:rFonts w:cs="Arial"/>
          <w:szCs w:val="24"/>
        </w:rPr>
      </w:pPr>
    </w:p>
    <w:p w14:paraId="42751BBA" w14:textId="7BEB9248" w:rsidR="00622E0C" w:rsidRPr="00E2120D" w:rsidRDefault="00622E0C" w:rsidP="00C24ECD">
      <w:pPr>
        <w:rPr>
          <w:rFonts w:cs="Arial"/>
          <w:szCs w:val="24"/>
        </w:rPr>
      </w:pPr>
      <w:r w:rsidRPr="00E2120D">
        <w:rPr>
          <w:rFonts w:cs="Arial"/>
          <w:szCs w:val="24"/>
        </w:rPr>
        <w:t xml:space="preserve">Should the concern not meet the requirement to be a qualifying disclosure, you should raise this under the </w:t>
      </w:r>
      <w:r w:rsidR="00E2120D">
        <w:rPr>
          <w:rFonts w:cs="Arial"/>
          <w:szCs w:val="24"/>
        </w:rPr>
        <w:t>Organisation</w:t>
      </w:r>
      <w:r w:rsidRPr="00E2120D">
        <w:rPr>
          <w:rFonts w:cs="Arial"/>
          <w:szCs w:val="24"/>
        </w:rPr>
        <w:t xml:space="preserve">’s grievance policy. Where a concern is raised under the whistleblowing policy where it is not appropriate to do so, </w:t>
      </w:r>
      <w:proofErr w:type="spellStart"/>
      <w:r w:rsidRPr="00E2120D">
        <w:rPr>
          <w:rFonts w:cs="Arial"/>
          <w:szCs w:val="24"/>
        </w:rPr>
        <w:t>ie</w:t>
      </w:r>
      <w:proofErr w:type="spellEnd"/>
      <w:r w:rsidRPr="00E2120D">
        <w:rPr>
          <w:rFonts w:cs="Arial"/>
          <w:szCs w:val="24"/>
        </w:rPr>
        <w:t xml:space="preserve"> it relates to a personal grievance, the receiving manager will confirm that the matter will be addressed under the grievance policy.</w:t>
      </w:r>
    </w:p>
    <w:p w14:paraId="21B587F6" w14:textId="77777777" w:rsidR="00622E0C" w:rsidRPr="00E2120D" w:rsidRDefault="00622E0C" w:rsidP="00C24ECD">
      <w:pPr>
        <w:rPr>
          <w:rFonts w:cs="Arial"/>
          <w:szCs w:val="24"/>
        </w:rPr>
      </w:pPr>
    </w:p>
    <w:p w14:paraId="4C2DB698" w14:textId="77777777" w:rsidR="00C24ECD" w:rsidRPr="00E2120D" w:rsidRDefault="001C44CA" w:rsidP="00C24ECD">
      <w:pPr>
        <w:rPr>
          <w:rFonts w:cs="Arial"/>
          <w:b/>
          <w:sz w:val="28"/>
          <w:szCs w:val="24"/>
        </w:rPr>
      </w:pPr>
      <w:r w:rsidRPr="00E2120D">
        <w:rPr>
          <w:rFonts w:cs="Arial"/>
          <w:b/>
          <w:sz w:val="28"/>
          <w:szCs w:val="24"/>
        </w:rPr>
        <w:t>The procedure</w:t>
      </w:r>
    </w:p>
    <w:p w14:paraId="73CCFEAA" w14:textId="77777777" w:rsidR="00E2120D" w:rsidRDefault="00E2120D" w:rsidP="00C24ECD">
      <w:pPr>
        <w:rPr>
          <w:rFonts w:cs="Arial"/>
          <w:szCs w:val="24"/>
        </w:rPr>
      </w:pPr>
    </w:p>
    <w:p w14:paraId="0373E6A2" w14:textId="77777777" w:rsidR="00E2120D" w:rsidRDefault="00C24ECD" w:rsidP="00C24ECD">
      <w:pPr>
        <w:rPr>
          <w:rFonts w:cs="Arial"/>
          <w:szCs w:val="24"/>
        </w:rPr>
      </w:pPr>
      <w:r w:rsidRPr="00E2120D">
        <w:rPr>
          <w:rFonts w:cs="Arial"/>
          <w:szCs w:val="24"/>
        </w:rPr>
        <w:t>In the first instance you should report any concerns you may have to</w:t>
      </w:r>
      <w:r w:rsidR="00AE5F52" w:rsidRPr="00E2120D">
        <w:rPr>
          <w:rFonts w:cs="Arial"/>
          <w:szCs w:val="24"/>
        </w:rPr>
        <w:t xml:space="preserve"> your line manager or</w:t>
      </w:r>
      <w:r w:rsidRPr="00E2120D">
        <w:rPr>
          <w:rFonts w:cs="Arial"/>
          <w:szCs w:val="24"/>
        </w:rPr>
        <w:t xml:space="preserve"> </w:t>
      </w:r>
      <w:r w:rsidRPr="00E2120D">
        <w:rPr>
          <w:rFonts w:cs="Arial"/>
          <w:i/>
          <w:szCs w:val="24"/>
        </w:rPr>
        <w:t>[</w:t>
      </w:r>
      <w:r w:rsidR="001C44CA" w:rsidRPr="00E2120D">
        <w:rPr>
          <w:rFonts w:cs="Arial"/>
          <w:i/>
          <w:szCs w:val="24"/>
        </w:rPr>
        <w:t>insert name</w:t>
      </w:r>
      <w:r w:rsidR="00E2120D">
        <w:rPr>
          <w:rFonts w:cs="Arial"/>
          <w:i/>
          <w:szCs w:val="24"/>
        </w:rPr>
        <w:t xml:space="preserve"> – senior manager recommended</w:t>
      </w:r>
      <w:r w:rsidRPr="00E2120D">
        <w:rPr>
          <w:rFonts w:cs="Arial"/>
          <w:i/>
          <w:szCs w:val="24"/>
        </w:rPr>
        <w:t>]</w:t>
      </w:r>
      <w:r w:rsidR="00AE5F52" w:rsidRPr="00E2120D">
        <w:rPr>
          <w:rFonts w:cs="Arial"/>
          <w:szCs w:val="24"/>
        </w:rPr>
        <w:t xml:space="preserve">, where the concern relates to your line manager or it is not appropriate to make the report to your line manager. All concerns reported will be treated in the utmost confidence. </w:t>
      </w:r>
    </w:p>
    <w:p w14:paraId="10C2B0F9" w14:textId="0F8BDB97" w:rsidR="00AE5F52" w:rsidRPr="00E2120D" w:rsidRDefault="00AE5F52" w:rsidP="00C24ECD">
      <w:pPr>
        <w:rPr>
          <w:rFonts w:cs="Arial"/>
          <w:szCs w:val="24"/>
        </w:rPr>
      </w:pPr>
      <w:r w:rsidRPr="00E2120D">
        <w:rPr>
          <w:rFonts w:cs="Arial"/>
          <w:i/>
          <w:szCs w:val="24"/>
        </w:rPr>
        <w:lastRenderedPageBreak/>
        <w:t xml:space="preserve">[Optional] </w:t>
      </w:r>
      <w:proofErr w:type="gramStart"/>
      <w:r w:rsidRPr="00E2120D">
        <w:rPr>
          <w:rFonts w:cs="Arial"/>
          <w:szCs w:val="24"/>
        </w:rPr>
        <w:t>The</w:t>
      </w:r>
      <w:proofErr w:type="gramEnd"/>
      <w:r w:rsidRPr="00E2120D">
        <w:rPr>
          <w:rFonts w:cs="Arial"/>
          <w:szCs w:val="24"/>
        </w:rPr>
        <w:t xml:space="preserve"> </w:t>
      </w:r>
      <w:r w:rsidR="00E2120D">
        <w:rPr>
          <w:rFonts w:cs="Arial"/>
          <w:szCs w:val="24"/>
        </w:rPr>
        <w:t>Organisation</w:t>
      </w:r>
      <w:r w:rsidRPr="00E2120D">
        <w:rPr>
          <w:rFonts w:cs="Arial"/>
          <w:szCs w:val="24"/>
        </w:rPr>
        <w:t xml:space="preserve"> has a form for you to report your concerns otherwise; you may submit your</w:t>
      </w:r>
      <w:r w:rsidR="00753550" w:rsidRPr="00E2120D">
        <w:rPr>
          <w:rFonts w:cs="Arial"/>
          <w:szCs w:val="24"/>
        </w:rPr>
        <w:t xml:space="preserve"> concerns in any format. You may be asked to confirm any verbal concerns in writing or to confirm a written record of a verbal report. </w:t>
      </w:r>
      <w:r w:rsidRPr="00E2120D">
        <w:rPr>
          <w:rFonts w:cs="Arial"/>
          <w:szCs w:val="24"/>
        </w:rPr>
        <w:t xml:space="preserve"> </w:t>
      </w:r>
    </w:p>
    <w:p w14:paraId="180C0C70" w14:textId="77777777" w:rsidR="00AE5F52" w:rsidRPr="00E2120D" w:rsidRDefault="00AE5F52" w:rsidP="00C24ECD">
      <w:pPr>
        <w:rPr>
          <w:rFonts w:cs="Arial"/>
          <w:szCs w:val="24"/>
        </w:rPr>
      </w:pPr>
    </w:p>
    <w:p w14:paraId="2145DF35" w14:textId="77777777" w:rsidR="00AE5F52" w:rsidRPr="00E2120D" w:rsidRDefault="00AE5F52" w:rsidP="00AE5F52">
      <w:pPr>
        <w:rPr>
          <w:rFonts w:cs="Arial"/>
          <w:szCs w:val="24"/>
        </w:rPr>
      </w:pPr>
      <w:r w:rsidRPr="00E2120D">
        <w:rPr>
          <w:rFonts w:cs="Arial"/>
          <w:szCs w:val="24"/>
        </w:rPr>
        <w:t xml:space="preserve">If you do not report your concerns to </w:t>
      </w:r>
      <w:r w:rsidRPr="00E2120D">
        <w:rPr>
          <w:rFonts w:cs="Arial"/>
          <w:i/>
          <w:szCs w:val="24"/>
        </w:rPr>
        <w:t>[insert name]</w:t>
      </w:r>
      <w:r w:rsidRPr="00E2120D">
        <w:rPr>
          <w:rFonts w:cs="Arial"/>
          <w:szCs w:val="24"/>
        </w:rPr>
        <w:t xml:space="preserve"> you should take them direct to the appropriate organisation or regulatory body</w:t>
      </w:r>
      <w:r w:rsidR="00622E0C" w:rsidRPr="00E2120D">
        <w:rPr>
          <w:rFonts w:cs="Arial"/>
          <w:szCs w:val="24"/>
        </w:rPr>
        <w:t xml:space="preserve"> with authority for that area</w:t>
      </w:r>
      <w:r w:rsidRPr="00E2120D">
        <w:rPr>
          <w:rFonts w:cs="Arial"/>
          <w:szCs w:val="24"/>
        </w:rPr>
        <w:t>.</w:t>
      </w:r>
    </w:p>
    <w:p w14:paraId="1090C8C7" w14:textId="77777777" w:rsidR="00AE5F52" w:rsidRPr="00E2120D" w:rsidRDefault="00AE5F52" w:rsidP="00AE5F52">
      <w:pPr>
        <w:rPr>
          <w:rFonts w:cs="Arial"/>
          <w:szCs w:val="24"/>
        </w:rPr>
      </w:pPr>
    </w:p>
    <w:p w14:paraId="542CFECD" w14:textId="5717423F" w:rsidR="00E2120D" w:rsidRDefault="00AE5F52" w:rsidP="00AE5F52">
      <w:pPr>
        <w:rPr>
          <w:rFonts w:cs="Arial"/>
          <w:szCs w:val="24"/>
        </w:rPr>
      </w:pPr>
      <w:r w:rsidRPr="00E2120D">
        <w:rPr>
          <w:rFonts w:cs="Arial"/>
          <w:szCs w:val="24"/>
        </w:rPr>
        <w:t xml:space="preserve">Following receipt of a </w:t>
      </w:r>
      <w:r w:rsidR="00753550" w:rsidRPr="00E2120D">
        <w:rPr>
          <w:rFonts w:cs="Arial"/>
          <w:szCs w:val="24"/>
        </w:rPr>
        <w:t>disclosure made under this policy</w:t>
      </w:r>
      <w:r w:rsidRPr="00E2120D">
        <w:rPr>
          <w:rFonts w:cs="Arial"/>
          <w:szCs w:val="24"/>
        </w:rPr>
        <w:t xml:space="preserve">, an investigation meeting will be held. The purpose of this meeting is to gather as much information as possible from </w:t>
      </w:r>
      <w:r w:rsidR="001E4707">
        <w:rPr>
          <w:rFonts w:cs="Arial"/>
          <w:szCs w:val="24"/>
        </w:rPr>
        <w:t>you</w:t>
      </w:r>
      <w:r w:rsidRPr="00E2120D">
        <w:rPr>
          <w:rFonts w:cs="Arial"/>
          <w:szCs w:val="24"/>
        </w:rPr>
        <w:t xml:space="preserve"> regarding </w:t>
      </w:r>
      <w:r w:rsidR="001E4707">
        <w:rPr>
          <w:rFonts w:cs="Arial"/>
          <w:szCs w:val="24"/>
        </w:rPr>
        <w:t>your</w:t>
      </w:r>
      <w:r w:rsidRPr="00E2120D">
        <w:rPr>
          <w:rFonts w:cs="Arial"/>
          <w:szCs w:val="24"/>
        </w:rPr>
        <w:t xml:space="preserve"> </w:t>
      </w:r>
      <w:r w:rsidR="00753550" w:rsidRPr="00E2120D">
        <w:rPr>
          <w:rFonts w:cs="Arial"/>
          <w:szCs w:val="24"/>
        </w:rPr>
        <w:t xml:space="preserve">concerns, including whether </w:t>
      </w:r>
      <w:r w:rsidR="001E4707">
        <w:rPr>
          <w:rFonts w:cs="Arial"/>
          <w:szCs w:val="24"/>
        </w:rPr>
        <w:t>you</w:t>
      </w:r>
      <w:r w:rsidR="00753550" w:rsidRPr="00E2120D">
        <w:rPr>
          <w:rFonts w:cs="Arial"/>
          <w:szCs w:val="24"/>
        </w:rPr>
        <w:t xml:space="preserve"> have any supporting evidence or </w:t>
      </w:r>
      <w:r w:rsidR="00622E0C" w:rsidRPr="00E2120D">
        <w:rPr>
          <w:rFonts w:cs="Arial"/>
          <w:szCs w:val="24"/>
        </w:rPr>
        <w:t>can identify any witnesses</w:t>
      </w:r>
      <w:r w:rsidR="00753550" w:rsidRPr="00E2120D">
        <w:rPr>
          <w:rFonts w:cs="Arial"/>
          <w:szCs w:val="24"/>
        </w:rPr>
        <w:t xml:space="preserve">. </w:t>
      </w:r>
    </w:p>
    <w:p w14:paraId="432D1E54" w14:textId="77777777" w:rsidR="00E2120D" w:rsidRDefault="00E2120D" w:rsidP="00AE5F52">
      <w:pPr>
        <w:rPr>
          <w:rFonts w:cs="Arial"/>
          <w:szCs w:val="24"/>
        </w:rPr>
      </w:pPr>
    </w:p>
    <w:p w14:paraId="1D732993" w14:textId="5D37DD2E" w:rsidR="00AE5F52" w:rsidRPr="00E2120D" w:rsidRDefault="00753550" w:rsidP="00AE5F52">
      <w:pPr>
        <w:rPr>
          <w:rFonts w:cs="Arial"/>
          <w:szCs w:val="24"/>
        </w:rPr>
      </w:pPr>
      <w:r w:rsidRPr="00E2120D">
        <w:rPr>
          <w:rFonts w:cs="Arial"/>
          <w:i/>
          <w:szCs w:val="24"/>
        </w:rPr>
        <w:t xml:space="preserve">[Optional] </w:t>
      </w:r>
      <w:r w:rsidRPr="00E2120D">
        <w:rPr>
          <w:rFonts w:cs="Arial"/>
          <w:szCs w:val="24"/>
        </w:rPr>
        <w:t xml:space="preserve">This meeting will be held within </w:t>
      </w:r>
      <w:r w:rsidRPr="00E2120D">
        <w:rPr>
          <w:rFonts w:cs="Arial"/>
          <w:i/>
          <w:szCs w:val="24"/>
        </w:rPr>
        <w:t xml:space="preserve">[insert number] [delete as appropriate – days/weeks] </w:t>
      </w:r>
      <w:r w:rsidRPr="00E2120D">
        <w:rPr>
          <w:rFonts w:cs="Arial"/>
          <w:szCs w:val="24"/>
        </w:rPr>
        <w:t xml:space="preserve">following receipt of the disclosure. </w:t>
      </w:r>
    </w:p>
    <w:p w14:paraId="660EB77A" w14:textId="77777777" w:rsidR="00753550" w:rsidRPr="00E2120D" w:rsidRDefault="00753550" w:rsidP="00AE5F52">
      <w:pPr>
        <w:rPr>
          <w:rFonts w:cs="Arial"/>
          <w:szCs w:val="24"/>
        </w:rPr>
      </w:pPr>
    </w:p>
    <w:p w14:paraId="29935258" w14:textId="77777777" w:rsidR="00E2120D" w:rsidRDefault="00753550" w:rsidP="00AE5F52">
      <w:pPr>
        <w:rPr>
          <w:rFonts w:cs="Arial"/>
          <w:szCs w:val="24"/>
        </w:rPr>
      </w:pPr>
      <w:r w:rsidRPr="00E2120D">
        <w:rPr>
          <w:rFonts w:cs="Arial"/>
          <w:szCs w:val="24"/>
        </w:rPr>
        <w:t xml:space="preserve">After this meeting, the investigating manager will commence a full investigation into the concerns raised. The investigation will aim to gather all relevant information including relevant documentary evidence or witness statements. </w:t>
      </w:r>
    </w:p>
    <w:p w14:paraId="6540F3FC" w14:textId="77777777" w:rsidR="00E2120D" w:rsidRDefault="00E2120D" w:rsidP="00AE5F52">
      <w:pPr>
        <w:rPr>
          <w:rFonts w:cs="Arial"/>
          <w:szCs w:val="24"/>
        </w:rPr>
      </w:pPr>
    </w:p>
    <w:p w14:paraId="5DA1C3AC" w14:textId="0B153270" w:rsidR="00753550" w:rsidRPr="00E2120D" w:rsidRDefault="00753550" w:rsidP="00AE5F52">
      <w:pPr>
        <w:rPr>
          <w:rFonts w:cs="Arial"/>
          <w:szCs w:val="24"/>
        </w:rPr>
      </w:pPr>
      <w:r w:rsidRPr="00E2120D">
        <w:rPr>
          <w:rFonts w:cs="Arial"/>
          <w:i/>
          <w:szCs w:val="24"/>
        </w:rPr>
        <w:t xml:space="preserve">[Optional] </w:t>
      </w:r>
      <w:r w:rsidRPr="00E2120D">
        <w:rPr>
          <w:rFonts w:cs="Arial"/>
          <w:szCs w:val="24"/>
        </w:rPr>
        <w:t xml:space="preserve">This investigation must be completed within </w:t>
      </w:r>
      <w:r w:rsidRPr="00E2120D">
        <w:rPr>
          <w:rFonts w:cs="Arial"/>
          <w:i/>
          <w:szCs w:val="24"/>
        </w:rPr>
        <w:t xml:space="preserve">[insert timeframe] </w:t>
      </w:r>
      <w:r w:rsidRPr="00E2120D">
        <w:rPr>
          <w:rFonts w:cs="Arial"/>
          <w:szCs w:val="24"/>
        </w:rPr>
        <w:t xml:space="preserve">following receipt of the disclosure. If this is not possible, the investigating manager will speak to </w:t>
      </w:r>
      <w:r w:rsidR="001E4707">
        <w:rPr>
          <w:rFonts w:cs="Arial"/>
          <w:szCs w:val="24"/>
        </w:rPr>
        <w:t>you</w:t>
      </w:r>
      <w:r w:rsidRPr="00E2120D">
        <w:rPr>
          <w:rFonts w:cs="Arial"/>
          <w:szCs w:val="24"/>
        </w:rPr>
        <w:t xml:space="preserve"> in advance of the completion deadline to agree an extended period of investigation.  </w:t>
      </w:r>
    </w:p>
    <w:p w14:paraId="21DC7D18" w14:textId="77777777" w:rsidR="00753550" w:rsidRPr="00E2120D" w:rsidRDefault="00753550" w:rsidP="00AE5F52">
      <w:pPr>
        <w:rPr>
          <w:rFonts w:cs="Arial"/>
          <w:szCs w:val="24"/>
        </w:rPr>
      </w:pPr>
    </w:p>
    <w:p w14:paraId="22B7D2DE" w14:textId="7C6EEE8C" w:rsidR="00753550" w:rsidRPr="00E2120D" w:rsidRDefault="00753550" w:rsidP="00C24ECD">
      <w:pPr>
        <w:rPr>
          <w:rFonts w:cs="Arial"/>
          <w:szCs w:val="24"/>
        </w:rPr>
      </w:pPr>
      <w:r w:rsidRPr="00E2120D">
        <w:rPr>
          <w:rFonts w:cs="Arial"/>
          <w:szCs w:val="24"/>
        </w:rPr>
        <w:t>Once</w:t>
      </w:r>
      <w:r w:rsidR="00730152" w:rsidRPr="00E2120D">
        <w:rPr>
          <w:rFonts w:cs="Arial"/>
          <w:szCs w:val="24"/>
        </w:rPr>
        <w:t xml:space="preserve"> the investigation is complete, the investigation manager will write to </w:t>
      </w:r>
      <w:r w:rsidR="001E4707">
        <w:rPr>
          <w:rFonts w:cs="Arial"/>
          <w:szCs w:val="24"/>
        </w:rPr>
        <w:t>you</w:t>
      </w:r>
      <w:r w:rsidR="00730152" w:rsidRPr="00E2120D">
        <w:rPr>
          <w:rFonts w:cs="Arial"/>
          <w:szCs w:val="24"/>
        </w:rPr>
        <w:t xml:space="preserve"> confirming the outcome. </w:t>
      </w:r>
    </w:p>
    <w:p w14:paraId="01215DA1" w14:textId="77777777" w:rsidR="00753550" w:rsidRPr="00E2120D" w:rsidRDefault="00753550" w:rsidP="00C24ECD">
      <w:pPr>
        <w:rPr>
          <w:rFonts w:cs="Arial"/>
          <w:szCs w:val="24"/>
        </w:rPr>
      </w:pPr>
    </w:p>
    <w:p w14:paraId="781187D5" w14:textId="651C89A4" w:rsidR="00C24ECD" w:rsidRPr="00E2120D" w:rsidRDefault="00C24ECD" w:rsidP="00C24ECD">
      <w:pPr>
        <w:rPr>
          <w:rFonts w:cs="Arial"/>
          <w:szCs w:val="24"/>
        </w:rPr>
      </w:pPr>
      <w:r w:rsidRPr="00E2120D">
        <w:rPr>
          <w:rFonts w:cs="Arial"/>
          <w:szCs w:val="24"/>
        </w:rPr>
        <w:t xml:space="preserve">If </w:t>
      </w:r>
      <w:r w:rsidR="001E4707">
        <w:rPr>
          <w:rFonts w:cs="Arial"/>
          <w:szCs w:val="24"/>
        </w:rPr>
        <w:t>you</w:t>
      </w:r>
      <w:r w:rsidR="00730152" w:rsidRPr="00E2120D">
        <w:rPr>
          <w:rFonts w:cs="Arial"/>
          <w:szCs w:val="24"/>
        </w:rPr>
        <w:t xml:space="preserve"> </w:t>
      </w:r>
      <w:r w:rsidR="001E4707">
        <w:rPr>
          <w:rFonts w:cs="Arial"/>
          <w:szCs w:val="24"/>
        </w:rPr>
        <w:t>are</w:t>
      </w:r>
      <w:r w:rsidR="00730152" w:rsidRPr="00E2120D">
        <w:rPr>
          <w:rFonts w:cs="Arial"/>
          <w:szCs w:val="24"/>
        </w:rPr>
        <w:t xml:space="preserve"> not satisfied with the explanation or outcome, </w:t>
      </w:r>
      <w:r w:rsidR="001E4707">
        <w:rPr>
          <w:rFonts w:cs="Arial"/>
          <w:szCs w:val="24"/>
        </w:rPr>
        <w:t>you</w:t>
      </w:r>
      <w:r w:rsidR="00730152" w:rsidRPr="00E2120D">
        <w:rPr>
          <w:rFonts w:cs="Arial"/>
          <w:szCs w:val="24"/>
        </w:rPr>
        <w:t xml:space="preserve"> may raise the matter with </w:t>
      </w:r>
      <w:r w:rsidR="001E4707">
        <w:rPr>
          <w:rFonts w:cs="Arial"/>
          <w:szCs w:val="24"/>
        </w:rPr>
        <w:t>[</w:t>
      </w:r>
      <w:r w:rsidR="001E4707">
        <w:rPr>
          <w:rFonts w:cs="Arial"/>
          <w:i/>
          <w:iCs/>
          <w:szCs w:val="24"/>
        </w:rPr>
        <w:t xml:space="preserve">insert name / most senior position in </w:t>
      </w:r>
      <w:r w:rsidR="001E4707" w:rsidRPr="001E4707">
        <w:rPr>
          <w:rFonts w:cs="Arial"/>
          <w:szCs w:val="24"/>
        </w:rPr>
        <w:t>organisation</w:t>
      </w:r>
      <w:r w:rsidR="001E4707">
        <w:rPr>
          <w:rFonts w:cs="Arial"/>
          <w:szCs w:val="24"/>
        </w:rPr>
        <w:t xml:space="preserve">] or </w:t>
      </w:r>
      <w:r w:rsidR="00730152" w:rsidRPr="001E4707">
        <w:rPr>
          <w:rFonts w:cs="Arial"/>
          <w:szCs w:val="24"/>
        </w:rPr>
        <w:t>the</w:t>
      </w:r>
      <w:r w:rsidR="00730152" w:rsidRPr="00E2120D">
        <w:rPr>
          <w:rFonts w:cs="Arial"/>
          <w:szCs w:val="24"/>
        </w:rPr>
        <w:t xml:space="preserve"> appropriate official organisation or regulatory body. </w:t>
      </w:r>
    </w:p>
    <w:p w14:paraId="5394E5DF" w14:textId="77777777" w:rsidR="00730152" w:rsidRPr="00E2120D" w:rsidRDefault="00730152" w:rsidP="00C24ECD">
      <w:pPr>
        <w:rPr>
          <w:rFonts w:cs="Arial"/>
          <w:szCs w:val="24"/>
        </w:rPr>
      </w:pPr>
    </w:p>
    <w:p w14:paraId="12438C2F" w14:textId="018C0E2E" w:rsidR="00730152" w:rsidRDefault="00CB10F6" w:rsidP="00C24ECD">
      <w:pPr>
        <w:rPr>
          <w:rFonts w:cs="Arial"/>
          <w:b/>
          <w:sz w:val="28"/>
          <w:szCs w:val="24"/>
        </w:rPr>
      </w:pPr>
      <w:r w:rsidRPr="00E2120D">
        <w:rPr>
          <w:rFonts w:cs="Arial"/>
          <w:b/>
          <w:sz w:val="28"/>
          <w:szCs w:val="24"/>
        </w:rPr>
        <w:t>Formal action</w:t>
      </w:r>
    </w:p>
    <w:p w14:paraId="75089B14" w14:textId="77777777" w:rsidR="001E4707" w:rsidRPr="00E2120D" w:rsidRDefault="001E4707" w:rsidP="00C24ECD">
      <w:pPr>
        <w:rPr>
          <w:rFonts w:cs="Arial"/>
          <w:b/>
          <w:sz w:val="28"/>
          <w:szCs w:val="24"/>
        </w:rPr>
      </w:pPr>
    </w:p>
    <w:p w14:paraId="44659754" w14:textId="77777777" w:rsidR="00CB10F6" w:rsidRPr="00E2120D" w:rsidRDefault="00CB10F6" w:rsidP="00C24ECD">
      <w:pPr>
        <w:rPr>
          <w:rFonts w:cs="Arial"/>
          <w:szCs w:val="24"/>
        </w:rPr>
      </w:pPr>
      <w:r w:rsidRPr="00E2120D">
        <w:rPr>
          <w:rFonts w:cs="Arial"/>
          <w:szCs w:val="24"/>
        </w:rPr>
        <w:t xml:space="preserve">Should formal action be required </w:t>
      </w:r>
      <w:proofErr w:type="gramStart"/>
      <w:r w:rsidRPr="00E2120D">
        <w:rPr>
          <w:rFonts w:cs="Arial"/>
          <w:szCs w:val="24"/>
        </w:rPr>
        <w:t>as a result of</w:t>
      </w:r>
      <w:proofErr w:type="gramEnd"/>
      <w:r w:rsidRPr="00E2120D">
        <w:rPr>
          <w:rFonts w:cs="Arial"/>
          <w:szCs w:val="24"/>
        </w:rPr>
        <w:t xml:space="preserve"> any disclosure made under this policy, this action will be carried out in accordance with the applicable internal policy. Any potential sanctions imposed will be fair and reasonable in line with the relevant policy. </w:t>
      </w:r>
    </w:p>
    <w:p w14:paraId="086B4A76" w14:textId="77777777" w:rsidR="00CB10F6" w:rsidRPr="00E2120D" w:rsidRDefault="00CB10F6" w:rsidP="00C24ECD">
      <w:pPr>
        <w:rPr>
          <w:rFonts w:cs="Arial"/>
          <w:szCs w:val="24"/>
        </w:rPr>
      </w:pPr>
    </w:p>
    <w:p w14:paraId="17143549" w14:textId="77777777" w:rsidR="00730152" w:rsidRPr="00E2120D" w:rsidRDefault="00730152" w:rsidP="00C24ECD">
      <w:pPr>
        <w:rPr>
          <w:rFonts w:cs="Arial"/>
          <w:b/>
          <w:sz w:val="28"/>
          <w:szCs w:val="24"/>
        </w:rPr>
      </w:pPr>
      <w:r w:rsidRPr="00E2120D">
        <w:rPr>
          <w:rFonts w:cs="Arial"/>
          <w:b/>
          <w:sz w:val="28"/>
          <w:szCs w:val="24"/>
        </w:rPr>
        <w:t>Protection against detrimental treatment</w:t>
      </w:r>
    </w:p>
    <w:p w14:paraId="2FEB520F" w14:textId="77777777" w:rsidR="001E4707" w:rsidRDefault="001E4707" w:rsidP="00C24ECD">
      <w:pPr>
        <w:rPr>
          <w:rFonts w:cs="Arial"/>
          <w:szCs w:val="24"/>
        </w:rPr>
      </w:pPr>
    </w:p>
    <w:p w14:paraId="7D4CEFA2" w14:textId="4BF89A04" w:rsidR="00730152" w:rsidRPr="00E2120D" w:rsidRDefault="001E4707" w:rsidP="00C24ECD">
      <w:pPr>
        <w:rPr>
          <w:rFonts w:cs="Arial"/>
          <w:szCs w:val="24"/>
        </w:rPr>
      </w:pPr>
      <w:r>
        <w:rPr>
          <w:rFonts w:cs="Arial"/>
          <w:szCs w:val="24"/>
        </w:rPr>
        <w:t>Everyone</w:t>
      </w:r>
      <w:r w:rsidR="00CB10F6" w:rsidRPr="00E2120D">
        <w:rPr>
          <w:rFonts w:cs="Arial"/>
          <w:szCs w:val="24"/>
        </w:rPr>
        <w:t xml:space="preserve"> who raise</w:t>
      </w:r>
      <w:r>
        <w:rPr>
          <w:rFonts w:cs="Arial"/>
          <w:szCs w:val="24"/>
        </w:rPr>
        <w:t>s</w:t>
      </w:r>
      <w:r w:rsidR="00CB10F6" w:rsidRPr="00E2120D">
        <w:rPr>
          <w:rFonts w:cs="Arial"/>
          <w:szCs w:val="24"/>
        </w:rPr>
        <w:t xml:space="preserve"> matters of concern under this policy are protected against detrimental treatment, up to and including dismissal, because they have made a disclosure. </w:t>
      </w:r>
    </w:p>
    <w:p w14:paraId="0B9209F3" w14:textId="77777777" w:rsidR="00CB10F6" w:rsidRPr="00E2120D" w:rsidRDefault="00CB10F6" w:rsidP="00C24ECD">
      <w:pPr>
        <w:rPr>
          <w:rFonts w:cs="Arial"/>
          <w:szCs w:val="24"/>
        </w:rPr>
      </w:pPr>
    </w:p>
    <w:p w14:paraId="7C94588F" w14:textId="77777777" w:rsidR="00C24ECD" w:rsidRPr="00E2120D" w:rsidRDefault="00C24ECD" w:rsidP="00C24ECD">
      <w:pPr>
        <w:rPr>
          <w:rFonts w:cs="Arial"/>
          <w:color w:val="FF0000"/>
          <w:szCs w:val="24"/>
        </w:rPr>
      </w:pPr>
      <w:r w:rsidRPr="00E2120D">
        <w:rPr>
          <w:rFonts w:cs="Arial"/>
          <w:szCs w:val="24"/>
        </w:rPr>
        <w:t>Bullying, harassment or any other detrimental treatment afforded to a colleague who has made a qualifying disclosure is unacceptable. Anyone found to have acted in such a manner will be subject to disciplinary action.</w:t>
      </w:r>
    </w:p>
    <w:sectPr w:rsidR="00C24ECD" w:rsidRPr="00E2120D" w:rsidSect="00670625">
      <w:headerReference w:type="even" r:id="rId7"/>
      <w:headerReference w:type="default" r:id="rId8"/>
      <w:footerReference w:type="even" r:id="rId9"/>
      <w:footerReference w:type="default" r:id="rId10"/>
      <w:headerReference w:type="first" r:id="rId11"/>
      <w:footerReference w:type="first" r:id="rId12"/>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E23D" w14:textId="77777777" w:rsidR="007667C7" w:rsidRDefault="007667C7" w:rsidP="001A043C">
      <w:r>
        <w:separator/>
      </w:r>
    </w:p>
  </w:endnote>
  <w:endnote w:type="continuationSeparator" w:id="0">
    <w:p w14:paraId="06E2D517" w14:textId="77777777" w:rsidR="007667C7" w:rsidRDefault="007667C7"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06CD" w14:textId="77777777" w:rsidR="001E4707" w:rsidRDefault="001E4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C21F" w14:textId="2981DB4D" w:rsidR="008F7D5C" w:rsidRPr="00F77E0D" w:rsidRDefault="001E4707" w:rsidP="00F77E0D">
    <w:pPr>
      <w:pStyle w:val="Footer"/>
      <w:jc w:val="right"/>
      <w:rPr>
        <w:sz w:val="16"/>
        <w:szCs w:val="16"/>
      </w:rPr>
    </w:pPr>
    <w:r>
      <w:rPr>
        <w:rFonts w:cs="Arial"/>
        <w:b/>
        <w:noProof/>
        <w:sz w:val="16"/>
        <w:szCs w:val="16"/>
      </w:rPr>
      <mc:AlternateContent>
        <mc:Choice Requires="wps">
          <w:drawing>
            <wp:anchor distT="0" distB="0" distL="114300" distR="114300" simplePos="0" relativeHeight="251659264" behindDoc="0" locked="0" layoutInCell="0" allowOverlap="1" wp14:anchorId="75C6EAA4" wp14:editId="62B14E69">
              <wp:simplePos x="0" y="0"/>
              <wp:positionH relativeFrom="page">
                <wp:posOffset>0</wp:posOffset>
              </wp:positionH>
              <wp:positionV relativeFrom="page">
                <wp:posOffset>10227945</wp:posOffset>
              </wp:positionV>
              <wp:extent cx="7560310" cy="273050"/>
              <wp:effectExtent l="0" t="0" r="0" b="12700"/>
              <wp:wrapNone/>
              <wp:docPr id="1" name="MSIPCM37a0465980b4ecb513b0bd19" descr="{&quot;HashCode&quot;:10823459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FD121" w14:textId="6ED3862D" w:rsidR="001E4707" w:rsidRPr="001E4707" w:rsidRDefault="001E4707" w:rsidP="001E4707">
                          <w:pPr>
                            <w:jc w:val="center"/>
                            <w:rPr>
                              <w:rFonts w:ascii="Calibri" w:hAnsi="Calibri" w:cs="Calibri"/>
                              <w:color w:val="FF0000"/>
                            </w:rPr>
                          </w:pPr>
                          <w:r w:rsidRPr="001E4707">
                            <w:rPr>
                              <w:rFonts w:ascii="Calibri" w:hAnsi="Calibri" w:cs="Calibri"/>
                              <w:color w:val="FF0000"/>
                            </w:rPr>
                            <w:t>Company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C6EAA4" id="_x0000_t202" coordsize="21600,21600" o:spt="202" path="m,l,21600r21600,l21600,xe">
              <v:stroke joinstyle="miter"/>
              <v:path gradientshapeok="t" o:connecttype="rect"/>
            </v:shapetype>
            <v:shape id="MSIPCM37a0465980b4ecb513b0bd19" o:spid="_x0000_s1026" type="#_x0000_t202" alt="{&quot;HashCode&quot;:1082345914,&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313FD121" w14:textId="6ED3862D" w:rsidR="001E4707" w:rsidRPr="001E4707" w:rsidRDefault="001E4707" w:rsidP="001E4707">
                    <w:pPr>
                      <w:jc w:val="center"/>
                      <w:rPr>
                        <w:rFonts w:ascii="Calibri" w:hAnsi="Calibri" w:cs="Calibri"/>
                        <w:color w:val="FF0000"/>
                      </w:rPr>
                    </w:pPr>
                    <w:r w:rsidRPr="001E4707">
                      <w:rPr>
                        <w:rFonts w:ascii="Calibri" w:hAnsi="Calibri" w:cs="Calibri"/>
                        <w:color w:val="FF0000"/>
                      </w:rPr>
                      <w:t>Company Confidential</w:t>
                    </w:r>
                  </w:p>
                </w:txbxContent>
              </v:textbox>
              <w10:wrap anchorx="page" anchory="page"/>
            </v:shape>
          </w:pict>
        </mc:Fallback>
      </mc:AlternateContent>
    </w:r>
    <w:r w:rsidR="008F7D5C" w:rsidRPr="00F77E0D">
      <w:rPr>
        <w:rFonts w:cs="Arial"/>
        <w:b/>
        <w:sz w:val="16"/>
        <w:szCs w:val="16"/>
      </w:rPr>
      <w:t xml:space="preserve">Customisable document taken from </w:t>
    </w:r>
    <w:hyperlink r:id="rId1" w:history="1">
      <w:r w:rsidR="009870A4" w:rsidRPr="00A35A10">
        <w:rPr>
          <w:rStyle w:val="Hyperlink"/>
          <w:rFonts w:cs="Arial"/>
          <w:b/>
          <w:sz w:val="16"/>
          <w:szCs w:val="16"/>
        </w:rPr>
        <w:t>www.hr-inform.co.uk</w:t>
      </w:r>
    </w:hyperlink>
    <w:r w:rsidR="009870A4">
      <w:rPr>
        <w:rFonts w:cs="Arial"/>
        <w:b/>
        <w:sz w:val="16"/>
        <w:szCs w:val="16"/>
      </w:rPr>
      <w:t xml:space="preserve"> </w:t>
    </w:r>
    <w:r w:rsidR="008F7D5C" w:rsidRPr="00F77E0D">
      <w:rPr>
        <w:rFonts w:cs="Arial"/>
        <w:b/>
        <w:sz w:val="16"/>
        <w:szCs w:val="16"/>
      </w:rPr>
      <w:br/>
      <w:t>This document is for your guidance only. Professional advice should be sought before use.</w:t>
    </w:r>
  </w:p>
  <w:p w14:paraId="68A90683" w14:textId="77777777" w:rsidR="008F7D5C" w:rsidRDefault="008F7D5C" w:rsidP="001A043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0A2D" w14:textId="77777777" w:rsidR="001E4707" w:rsidRDefault="001E4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8B68" w14:textId="77777777" w:rsidR="007667C7" w:rsidRDefault="007667C7" w:rsidP="001A043C">
      <w:r>
        <w:separator/>
      </w:r>
    </w:p>
  </w:footnote>
  <w:footnote w:type="continuationSeparator" w:id="0">
    <w:p w14:paraId="12D7E98D" w14:textId="77777777" w:rsidR="007667C7" w:rsidRDefault="007667C7" w:rsidP="001A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7025" w14:textId="77777777" w:rsidR="001E4707" w:rsidRDefault="001E4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DE1A" w14:textId="77777777" w:rsidR="008F7D5C" w:rsidRPr="00122B98" w:rsidRDefault="00122B98" w:rsidP="00122B98">
    <w:pPr>
      <w:pStyle w:val="Header"/>
    </w:pPr>
    <w:r w:rsidRPr="00122B98">
      <w:rPr>
        <w:noProof/>
        <w:lang w:eastAsia="en-GB"/>
      </w:rPr>
      <w:drawing>
        <wp:inline distT="0" distB="0" distL="0" distR="0" wp14:anchorId="3AE07D67" wp14:editId="5137B9F9">
          <wp:extent cx="1981200" cy="257175"/>
          <wp:effectExtent l="0" t="0" r="0" b="0"/>
          <wp:docPr id="3" name="Picture 3" descr="C:\Users\martinab\Pictures\CIPD HR-inform_Purple logo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ab\Pictures\CIPD HR-inform_Purple logo_resiz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257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B207" w14:textId="77777777" w:rsidR="001E4707" w:rsidRDefault="001E4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ED111F6"/>
    <w:multiLevelType w:val="hybridMultilevel"/>
    <w:tmpl w:val="DA28F490"/>
    <w:lvl w:ilvl="0" w:tplc="C6BCB3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E50D6"/>
    <w:multiLevelType w:val="hybridMultilevel"/>
    <w:tmpl w:val="D454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33EE1"/>
    <w:multiLevelType w:val="hybridMultilevel"/>
    <w:tmpl w:val="EF74DFDA"/>
    <w:lvl w:ilvl="0" w:tplc="CCA442FA">
      <w:start w:val="3"/>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22C26"/>
    <w:multiLevelType w:val="multilevel"/>
    <w:tmpl w:val="A49C8C36"/>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87EF8"/>
    <w:multiLevelType w:val="hybridMultilevel"/>
    <w:tmpl w:val="330CCB6A"/>
    <w:lvl w:ilvl="0" w:tplc="037C031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871471">
    <w:abstractNumId w:val="10"/>
  </w:num>
  <w:num w:numId="2" w16cid:durableId="410273530">
    <w:abstractNumId w:val="13"/>
  </w:num>
  <w:num w:numId="3" w16cid:durableId="2067989541">
    <w:abstractNumId w:val="16"/>
  </w:num>
  <w:num w:numId="4" w16cid:durableId="971985769">
    <w:abstractNumId w:val="9"/>
  </w:num>
  <w:num w:numId="5" w16cid:durableId="527062918">
    <w:abstractNumId w:val="8"/>
  </w:num>
  <w:num w:numId="6" w16cid:durableId="1740982163">
    <w:abstractNumId w:val="7"/>
  </w:num>
  <w:num w:numId="7" w16cid:durableId="130562831">
    <w:abstractNumId w:val="6"/>
  </w:num>
  <w:num w:numId="8" w16cid:durableId="44379733">
    <w:abstractNumId w:val="5"/>
  </w:num>
  <w:num w:numId="9" w16cid:durableId="7221916">
    <w:abstractNumId w:val="4"/>
  </w:num>
  <w:num w:numId="10" w16cid:durableId="285308888">
    <w:abstractNumId w:val="3"/>
  </w:num>
  <w:num w:numId="11" w16cid:durableId="1648970143">
    <w:abstractNumId w:val="2"/>
  </w:num>
  <w:num w:numId="12" w16cid:durableId="1672642092">
    <w:abstractNumId w:val="1"/>
  </w:num>
  <w:num w:numId="13" w16cid:durableId="1062678234">
    <w:abstractNumId w:val="0"/>
  </w:num>
  <w:num w:numId="14" w16cid:durableId="693192130">
    <w:abstractNumId w:val="17"/>
  </w:num>
  <w:num w:numId="15" w16cid:durableId="1334912988">
    <w:abstractNumId w:val="14"/>
  </w:num>
  <w:num w:numId="16" w16cid:durableId="371350130">
    <w:abstractNumId w:val="12"/>
  </w:num>
  <w:num w:numId="17" w16cid:durableId="47343090">
    <w:abstractNumId w:val="11"/>
  </w:num>
  <w:num w:numId="18" w16cid:durableId="694623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04"/>
    <w:rsid w:val="00075178"/>
    <w:rsid w:val="00086736"/>
    <w:rsid w:val="000C53F2"/>
    <w:rsid w:val="000E1E73"/>
    <w:rsid w:val="00120BB4"/>
    <w:rsid w:val="00122B98"/>
    <w:rsid w:val="001706C5"/>
    <w:rsid w:val="001A043C"/>
    <w:rsid w:val="001C44CA"/>
    <w:rsid w:val="001C5DB4"/>
    <w:rsid w:val="001E4707"/>
    <w:rsid w:val="001F0CE2"/>
    <w:rsid w:val="002643C5"/>
    <w:rsid w:val="002A502E"/>
    <w:rsid w:val="002B4501"/>
    <w:rsid w:val="002D38AB"/>
    <w:rsid w:val="00300F05"/>
    <w:rsid w:val="00346EC2"/>
    <w:rsid w:val="00360A52"/>
    <w:rsid w:val="00377DCA"/>
    <w:rsid w:val="0039311B"/>
    <w:rsid w:val="003939C8"/>
    <w:rsid w:val="003A3AA7"/>
    <w:rsid w:val="003B7779"/>
    <w:rsid w:val="003D45B9"/>
    <w:rsid w:val="003D5081"/>
    <w:rsid w:val="003E1EC3"/>
    <w:rsid w:val="003E2791"/>
    <w:rsid w:val="00417E9D"/>
    <w:rsid w:val="004379FD"/>
    <w:rsid w:val="00450BEF"/>
    <w:rsid w:val="00451CBE"/>
    <w:rsid w:val="00477C23"/>
    <w:rsid w:val="004A4328"/>
    <w:rsid w:val="004A5819"/>
    <w:rsid w:val="004B74B9"/>
    <w:rsid w:val="00526959"/>
    <w:rsid w:val="00564642"/>
    <w:rsid w:val="00564B21"/>
    <w:rsid w:val="00622E0C"/>
    <w:rsid w:val="00627415"/>
    <w:rsid w:val="00660802"/>
    <w:rsid w:val="00670625"/>
    <w:rsid w:val="006C7EFC"/>
    <w:rsid w:val="006D6073"/>
    <w:rsid w:val="006F3D29"/>
    <w:rsid w:val="00730152"/>
    <w:rsid w:val="0074421F"/>
    <w:rsid w:val="00753550"/>
    <w:rsid w:val="00754425"/>
    <w:rsid w:val="007667C7"/>
    <w:rsid w:val="007A283C"/>
    <w:rsid w:val="007C573F"/>
    <w:rsid w:val="007F1AB6"/>
    <w:rsid w:val="008200FB"/>
    <w:rsid w:val="00834004"/>
    <w:rsid w:val="008D07BA"/>
    <w:rsid w:val="008F7D5C"/>
    <w:rsid w:val="0094502A"/>
    <w:rsid w:val="009870A4"/>
    <w:rsid w:val="009F2E5D"/>
    <w:rsid w:val="009F5CDA"/>
    <w:rsid w:val="00A93238"/>
    <w:rsid w:val="00AE5F52"/>
    <w:rsid w:val="00B20229"/>
    <w:rsid w:val="00B670B3"/>
    <w:rsid w:val="00B74FC4"/>
    <w:rsid w:val="00C00FE9"/>
    <w:rsid w:val="00C161F2"/>
    <w:rsid w:val="00C24ECD"/>
    <w:rsid w:val="00CB10F6"/>
    <w:rsid w:val="00D015C8"/>
    <w:rsid w:val="00D43502"/>
    <w:rsid w:val="00D57317"/>
    <w:rsid w:val="00DA4F19"/>
    <w:rsid w:val="00DA71F6"/>
    <w:rsid w:val="00DE18C6"/>
    <w:rsid w:val="00E0386B"/>
    <w:rsid w:val="00E2120D"/>
    <w:rsid w:val="00E93F36"/>
    <w:rsid w:val="00EF5A57"/>
    <w:rsid w:val="00F022C7"/>
    <w:rsid w:val="00F547E6"/>
    <w:rsid w:val="00F71CBC"/>
    <w:rsid w:val="00F77E0D"/>
    <w:rsid w:val="00F83084"/>
    <w:rsid w:val="00F838CA"/>
    <w:rsid w:val="00FA4693"/>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CD76E"/>
  <w15:docId w15:val="{3374B5E1-E32C-4E2B-8459-4DB8DF02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basedOn w:val="DefaultParagraphFont"/>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basedOn w:val="DefaultParagraphFont"/>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basedOn w:val="DefaultParagraphFont"/>
    <w:link w:val="BalloonText"/>
    <w:uiPriority w:val="99"/>
    <w:semiHidden/>
    <w:rsid w:val="00834004"/>
    <w:rPr>
      <w:rFonts w:ascii="Tahoma" w:hAnsi="Tahoma" w:cs="Tahoma"/>
      <w:sz w:val="16"/>
      <w:szCs w:val="16"/>
      <w:lang w:val="en-GB"/>
    </w:rPr>
  </w:style>
  <w:style w:type="character" w:styleId="Hyperlink">
    <w:name w:val="Hyperlink"/>
    <w:basedOn w:val="DefaultParagraphFont"/>
    <w:rsid w:val="00F77E0D"/>
    <w:rPr>
      <w:color w:val="0000FF"/>
      <w:u w:val="single"/>
    </w:rPr>
  </w:style>
  <w:style w:type="paragraph" w:styleId="ListParagraph">
    <w:name w:val="List Paragraph"/>
    <w:basedOn w:val="Normal"/>
    <w:uiPriority w:val="34"/>
    <w:qFormat/>
    <w:rsid w:val="00B20229"/>
    <w:pPr>
      <w:ind w:left="720"/>
      <w:contextualSpacing/>
    </w:pPr>
  </w:style>
  <w:style w:type="paragraph" w:customStyle="1" w:styleId="GaramondNumbers">
    <w:name w:val="Garamond Numbers"/>
    <w:basedOn w:val="Normal"/>
    <w:link w:val="GaramondNumbersChar"/>
    <w:qFormat/>
    <w:rsid w:val="001E4707"/>
    <w:pPr>
      <w:numPr>
        <w:ilvl w:val="1"/>
        <w:numId w:val="18"/>
      </w:numPr>
      <w:autoSpaceDE w:val="0"/>
      <w:autoSpaceDN w:val="0"/>
      <w:adjustRightInd w:val="0"/>
      <w:jc w:val="both"/>
    </w:pPr>
    <w:rPr>
      <w:rFonts w:ascii="Garamond" w:eastAsia="Times New Roman" w:hAnsi="Garamond" w:cs="Arial"/>
      <w:sz w:val="20"/>
      <w:szCs w:val="18"/>
      <w:lang w:eastAsia="en-GB"/>
    </w:rPr>
  </w:style>
  <w:style w:type="character" w:customStyle="1" w:styleId="GaramondNumbersChar">
    <w:name w:val="Garamond Numbers Char"/>
    <w:basedOn w:val="DefaultParagraphFont"/>
    <w:link w:val="GaramondNumbers"/>
    <w:rsid w:val="001E4707"/>
    <w:rPr>
      <w:rFonts w:ascii="Garamond" w:eastAsia="Times New Roman" w:hAnsi="Garamond"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hr-inform.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3859</Characters>
  <Application>Microsoft Office Word</Application>
  <DocSecurity>4</DocSecurity>
  <Lines>94</Lines>
  <Paragraphs>30</Paragraphs>
  <ScaleCrop>false</ScaleCrop>
  <HeadingPairs>
    <vt:vector size="2" baseType="variant">
      <vt:variant>
        <vt:lpstr>Title</vt:lpstr>
      </vt:variant>
      <vt:variant>
        <vt:i4>1</vt:i4>
      </vt:variant>
    </vt:vector>
  </HeadingPairs>
  <TitlesOfParts>
    <vt:vector size="1" baseType="lpstr">
      <vt:lpstr>Whistleblowing policy</vt:lpstr>
    </vt:vector>
  </TitlesOfParts>
  <Company>CIPD</Company>
  <LinksUpToDate>false</LinksUpToDate>
  <CharactersWithSpaces>4561</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dc:title>
  <dc:subject/>
  <dc:creator>LindsayA</dc:creator>
  <cp:keywords/>
  <dc:description/>
  <cp:lastModifiedBy>Jake  Lent</cp:lastModifiedBy>
  <cp:revision>2</cp:revision>
  <cp:lastPrinted>2013-11-27T14:23:00Z</cp:lastPrinted>
  <dcterms:created xsi:type="dcterms:W3CDTF">2026-02-26T11:32:00Z</dcterms:created>
  <dcterms:modified xsi:type="dcterms:W3CDTF">2026-02-26T11:32:00Z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fc69b-bc76-4d24-9282-32270eb2f3df_Enabled">
    <vt:lpwstr>true</vt:lpwstr>
  </property>
  <property fmtid="{D5CDD505-2E9C-101B-9397-08002B2CF9AE}" pid="3" name="MSIP_Label_221fc69b-bc76-4d24-9282-32270eb2f3df_SetDate">
    <vt:lpwstr>2023-04-28T10:22:05Z</vt:lpwstr>
  </property>
  <property fmtid="{D5CDD505-2E9C-101B-9397-08002B2CF9AE}" pid="4" name="MSIP_Label_221fc69b-bc76-4d24-9282-32270eb2f3df_Method">
    <vt:lpwstr>Privileged</vt:lpwstr>
  </property>
  <property fmtid="{D5CDD505-2E9C-101B-9397-08002B2CF9AE}" pid="5" name="MSIP_Label_221fc69b-bc76-4d24-9282-32270eb2f3df_Name">
    <vt:lpwstr>Company Confidential</vt:lpwstr>
  </property>
  <property fmtid="{D5CDD505-2E9C-101B-9397-08002B2CF9AE}" pid="6" name="MSIP_Label_221fc69b-bc76-4d24-9282-32270eb2f3df_SiteId">
    <vt:lpwstr>f6aec7ed-3b3a-4826-99e1-1b3134e6b856</vt:lpwstr>
  </property>
  <property fmtid="{D5CDD505-2E9C-101B-9397-08002B2CF9AE}" pid="7" name="MSIP_Label_221fc69b-bc76-4d24-9282-32270eb2f3df_ActionId">
    <vt:lpwstr>d4863089-d3a7-4275-9fed-bee8d3ea83aa</vt:lpwstr>
  </property>
  <property fmtid="{D5CDD505-2E9C-101B-9397-08002B2CF9AE}" pid="8" name="MSIP_Label_221fc69b-bc76-4d24-9282-32270eb2f3df_ContentBits">
    <vt:lpwstr>2</vt:lpwstr>
  </property>
</Properties>
</file>